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031" w:rsidRPr="000478B4" w:rsidRDefault="00221031" w:rsidP="000478B4">
      <w:pPr>
        <w:contextualSpacing/>
        <w:jc w:val="left"/>
        <w:rPr>
          <w:rFonts w:eastAsia="Calibri"/>
          <w:sz w:val="24"/>
          <w:szCs w:val="24"/>
          <w:lang w:val="en-US"/>
        </w:rPr>
      </w:pPr>
      <w:r w:rsidRPr="000478B4">
        <w:rPr>
          <w:rFonts w:eastAsia="Calibri"/>
          <w:sz w:val="24"/>
          <w:szCs w:val="24"/>
          <w:lang w:val="en-US"/>
        </w:rPr>
        <w:t>UDC 336.71-021.387(477)</w:t>
      </w:r>
    </w:p>
    <w:p w:rsidR="00221031" w:rsidRDefault="00221031" w:rsidP="000478B4">
      <w:pPr>
        <w:contextualSpacing/>
        <w:rPr>
          <w:rFonts w:eastAsia="Calibri"/>
          <w:sz w:val="24"/>
          <w:szCs w:val="24"/>
          <w:lang w:val="en-US"/>
        </w:rPr>
      </w:pPr>
      <w:r w:rsidRPr="000478B4">
        <w:rPr>
          <w:rFonts w:eastAsia="Calibri"/>
          <w:sz w:val="24"/>
          <w:szCs w:val="24"/>
          <w:lang w:val="en-US"/>
        </w:rPr>
        <w:t>JEL G21</w:t>
      </w:r>
    </w:p>
    <w:p w:rsidR="000478B4" w:rsidRPr="000478B4" w:rsidRDefault="000478B4" w:rsidP="000478B4">
      <w:pPr>
        <w:contextualSpacing/>
        <w:rPr>
          <w:rFonts w:eastAsia="Calibri"/>
          <w:lang w:val="en-US"/>
        </w:rPr>
      </w:pPr>
    </w:p>
    <w:p w:rsidR="00125173" w:rsidRPr="000478B4" w:rsidRDefault="00221031" w:rsidP="000478B4">
      <w:pPr>
        <w:contextualSpacing/>
        <w:jc w:val="center"/>
        <w:rPr>
          <w:rFonts w:eastAsia="Calibri"/>
          <w:b/>
          <w:lang w:val="en-US"/>
        </w:rPr>
      </w:pPr>
      <w:r w:rsidRPr="000478B4">
        <w:rPr>
          <w:rFonts w:eastAsia="Calibri"/>
          <w:b/>
          <w:lang w:val="en-US"/>
        </w:rPr>
        <w:t>FINANCIAL STABILITY OF BANKS AND ITS MONITORING IN UKRAINE</w:t>
      </w:r>
    </w:p>
    <w:p w:rsidR="000478B4" w:rsidRPr="000478B4" w:rsidRDefault="000478B4" w:rsidP="000478B4">
      <w:pPr>
        <w:contextualSpacing/>
        <w:jc w:val="center"/>
        <w:rPr>
          <w:rFonts w:eastAsia="Calibri"/>
          <w:b/>
          <w:lang w:val="en-US"/>
        </w:rPr>
      </w:pPr>
    </w:p>
    <w:p w:rsidR="0001009F" w:rsidRPr="000478B4" w:rsidRDefault="00C32005" w:rsidP="000478B4">
      <w:pPr>
        <w:jc w:val="center"/>
        <w:rPr>
          <w:rFonts w:eastAsia="Calibri"/>
          <w:b/>
          <w:sz w:val="24"/>
          <w:szCs w:val="24"/>
          <w:lang w:val="en-US"/>
        </w:rPr>
      </w:pPr>
      <w:proofErr w:type="spellStart"/>
      <w:r w:rsidRPr="000478B4">
        <w:rPr>
          <w:rFonts w:eastAsia="Calibri"/>
          <w:b/>
          <w:sz w:val="24"/>
          <w:szCs w:val="24"/>
          <w:lang w:val="en-US"/>
        </w:rPr>
        <w:t>Svitlana</w:t>
      </w:r>
      <w:proofErr w:type="spellEnd"/>
      <w:r w:rsidRPr="000478B4">
        <w:rPr>
          <w:rFonts w:eastAsia="Calibri"/>
          <w:b/>
          <w:sz w:val="24"/>
          <w:szCs w:val="24"/>
          <w:lang w:val="en-US"/>
        </w:rPr>
        <w:t xml:space="preserve"> </w:t>
      </w:r>
      <w:proofErr w:type="spellStart"/>
      <w:r w:rsidRPr="000478B4">
        <w:rPr>
          <w:rFonts w:eastAsia="Calibri"/>
          <w:b/>
          <w:sz w:val="24"/>
          <w:szCs w:val="24"/>
          <w:lang w:val="en-US"/>
        </w:rPr>
        <w:t>Yehorycheva</w:t>
      </w:r>
      <w:proofErr w:type="spellEnd"/>
      <w:r w:rsidR="0001009F" w:rsidRPr="000478B4">
        <w:rPr>
          <w:rFonts w:eastAsia="Calibri"/>
          <w:b/>
          <w:sz w:val="24"/>
          <w:szCs w:val="24"/>
          <w:lang w:val="en-US"/>
        </w:rPr>
        <w:t>*</w:t>
      </w:r>
      <w:r w:rsidRPr="000478B4">
        <w:rPr>
          <w:rFonts w:eastAsia="Calibri"/>
          <w:b/>
          <w:sz w:val="24"/>
          <w:szCs w:val="24"/>
          <w:lang w:val="en-US"/>
        </w:rPr>
        <w:t xml:space="preserve">, </w:t>
      </w:r>
      <w:r w:rsidR="0001009F" w:rsidRPr="000478B4">
        <w:rPr>
          <w:rFonts w:eastAsia="Calibri"/>
          <w:b/>
          <w:sz w:val="24"/>
          <w:szCs w:val="24"/>
          <w:lang w:val="en-US"/>
        </w:rPr>
        <w:t>D</w:t>
      </w:r>
      <w:r w:rsidR="00923151" w:rsidRPr="000478B4">
        <w:rPr>
          <w:rFonts w:eastAsia="Calibri"/>
          <w:b/>
          <w:sz w:val="24"/>
          <w:szCs w:val="24"/>
          <w:lang w:val="en-US"/>
        </w:rPr>
        <w:t>.Sc. (</w:t>
      </w:r>
      <w:r w:rsidR="00D20BD0" w:rsidRPr="000478B4">
        <w:rPr>
          <w:rFonts w:eastAsia="Calibri"/>
          <w:b/>
          <w:sz w:val="24"/>
          <w:szCs w:val="24"/>
          <w:lang w:val="en-US"/>
        </w:rPr>
        <w:t>Economics)</w:t>
      </w:r>
      <w:r w:rsidRPr="000478B4">
        <w:rPr>
          <w:rFonts w:eastAsia="Calibri"/>
          <w:b/>
          <w:sz w:val="24"/>
          <w:szCs w:val="24"/>
          <w:lang w:val="en-US"/>
        </w:rPr>
        <w:t>, Professor</w:t>
      </w:r>
    </w:p>
    <w:p w:rsidR="00C32005" w:rsidRPr="000478B4" w:rsidRDefault="00C32005" w:rsidP="000478B4">
      <w:pPr>
        <w:contextualSpacing/>
        <w:jc w:val="center"/>
        <w:rPr>
          <w:rFonts w:eastAsia="Calibri"/>
          <w:b/>
          <w:sz w:val="24"/>
          <w:szCs w:val="24"/>
          <w:lang w:val="en-US"/>
        </w:rPr>
      </w:pPr>
      <w:r w:rsidRPr="000478B4">
        <w:rPr>
          <w:rFonts w:eastAsia="Calibri"/>
          <w:b/>
          <w:sz w:val="24"/>
          <w:szCs w:val="24"/>
          <w:lang w:val="en-US"/>
        </w:rPr>
        <w:t xml:space="preserve">National University “Yuri </w:t>
      </w:r>
      <w:proofErr w:type="spellStart"/>
      <w:r w:rsidRPr="000478B4">
        <w:rPr>
          <w:rFonts w:eastAsia="Calibri"/>
          <w:b/>
          <w:sz w:val="24"/>
          <w:szCs w:val="24"/>
          <w:lang w:val="en-US"/>
        </w:rPr>
        <w:t>Kondratyuk</w:t>
      </w:r>
      <w:proofErr w:type="spellEnd"/>
      <w:r w:rsidRPr="000478B4">
        <w:rPr>
          <w:rFonts w:eastAsia="Calibri"/>
          <w:b/>
          <w:sz w:val="24"/>
          <w:szCs w:val="24"/>
          <w:lang w:val="en-US"/>
        </w:rPr>
        <w:t xml:space="preserve"> Poltava Polytechnic”</w:t>
      </w:r>
    </w:p>
    <w:p w:rsidR="0001009F" w:rsidRPr="000478B4" w:rsidRDefault="00C32005" w:rsidP="000478B4">
      <w:pPr>
        <w:contextualSpacing/>
        <w:jc w:val="center"/>
        <w:rPr>
          <w:rFonts w:eastAsia="Calibri"/>
          <w:b/>
          <w:sz w:val="24"/>
          <w:szCs w:val="24"/>
          <w:lang w:val="en-US"/>
        </w:rPr>
      </w:pPr>
      <w:r w:rsidRPr="000478B4">
        <w:rPr>
          <w:rFonts w:eastAsia="Calibri"/>
          <w:b/>
          <w:sz w:val="24"/>
          <w:szCs w:val="24"/>
          <w:lang w:val="en-US"/>
        </w:rPr>
        <w:t xml:space="preserve">Oksana </w:t>
      </w:r>
      <w:proofErr w:type="spellStart"/>
      <w:r w:rsidRPr="000478B4">
        <w:rPr>
          <w:rFonts w:eastAsia="Calibri"/>
          <w:b/>
          <w:sz w:val="24"/>
          <w:szCs w:val="24"/>
          <w:lang w:val="en-US"/>
        </w:rPr>
        <w:t>Vovchenko</w:t>
      </w:r>
      <w:proofErr w:type="spellEnd"/>
      <w:r w:rsidR="0001009F" w:rsidRPr="000478B4">
        <w:rPr>
          <w:rFonts w:eastAsia="Calibri"/>
          <w:b/>
          <w:sz w:val="24"/>
          <w:szCs w:val="24"/>
          <w:lang w:val="en-US"/>
        </w:rPr>
        <w:t>**</w:t>
      </w:r>
      <w:r w:rsidRPr="000478B4">
        <w:rPr>
          <w:rFonts w:eastAsia="Calibri"/>
          <w:b/>
          <w:sz w:val="24"/>
          <w:szCs w:val="24"/>
          <w:lang w:val="en-US"/>
        </w:rPr>
        <w:t>,</w:t>
      </w:r>
      <w:r w:rsidR="0001009F" w:rsidRPr="000478B4">
        <w:rPr>
          <w:rFonts w:eastAsia="Calibri"/>
          <w:b/>
          <w:sz w:val="24"/>
          <w:szCs w:val="24"/>
          <w:lang w:val="en-US"/>
        </w:rPr>
        <w:t xml:space="preserve"> Assistant</w:t>
      </w:r>
    </w:p>
    <w:p w:rsidR="000478B4" w:rsidRDefault="00C32005" w:rsidP="000478B4">
      <w:pPr>
        <w:contextualSpacing/>
        <w:jc w:val="center"/>
        <w:rPr>
          <w:rFonts w:eastAsia="Calibri"/>
          <w:b/>
          <w:sz w:val="24"/>
          <w:szCs w:val="24"/>
          <w:lang w:val="en-US"/>
        </w:rPr>
      </w:pPr>
      <w:r w:rsidRPr="000478B4">
        <w:rPr>
          <w:rFonts w:eastAsia="Calibri"/>
          <w:b/>
          <w:sz w:val="24"/>
          <w:szCs w:val="24"/>
          <w:lang w:val="en-US"/>
        </w:rPr>
        <w:t xml:space="preserve">Higher Educational Establishment of </w:t>
      </w:r>
      <w:proofErr w:type="spellStart"/>
      <w:r w:rsidRPr="000478B4">
        <w:rPr>
          <w:rFonts w:eastAsia="Calibri"/>
          <w:b/>
          <w:sz w:val="24"/>
          <w:szCs w:val="24"/>
          <w:lang w:val="en-US"/>
        </w:rPr>
        <w:t>Ukoopspilka</w:t>
      </w:r>
      <w:proofErr w:type="spellEnd"/>
      <w:r w:rsidRPr="000478B4">
        <w:rPr>
          <w:rFonts w:eastAsia="Calibri"/>
          <w:b/>
          <w:sz w:val="24"/>
          <w:szCs w:val="24"/>
          <w:lang w:val="en-US"/>
        </w:rPr>
        <w:t xml:space="preserve"> </w:t>
      </w:r>
    </w:p>
    <w:p w:rsidR="00C32005" w:rsidRPr="000478B4" w:rsidRDefault="00C32005" w:rsidP="000478B4">
      <w:pPr>
        <w:contextualSpacing/>
        <w:jc w:val="center"/>
        <w:rPr>
          <w:rFonts w:eastAsia="Calibri"/>
          <w:b/>
          <w:sz w:val="24"/>
          <w:szCs w:val="24"/>
          <w:lang w:val="en-US"/>
        </w:rPr>
      </w:pPr>
      <w:r w:rsidRPr="000478B4">
        <w:rPr>
          <w:rFonts w:eastAsia="Calibri"/>
          <w:b/>
          <w:sz w:val="24"/>
          <w:szCs w:val="24"/>
          <w:lang w:val="en-US"/>
        </w:rPr>
        <w:t>“Poltava University of Economics and Trade”</w:t>
      </w:r>
    </w:p>
    <w:p w:rsidR="0001009F" w:rsidRPr="000478B4" w:rsidRDefault="0001009F" w:rsidP="000478B4">
      <w:pPr>
        <w:contextualSpacing/>
        <w:jc w:val="center"/>
        <w:rPr>
          <w:rFonts w:eastAsia="Calibri"/>
          <w:b/>
          <w:sz w:val="24"/>
          <w:szCs w:val="24"/>
          <w:lang w:val="en-US"/>
        </w:rPr>
      </w:pPr>
    </w:p>
    <w:p w:rsidR="0001009F" w:rsidRPr="000478B4" w:rsidRDefault="0001009F" w:rsidP="000478B4">
      <w:pPr>
        <w:contextualSpacing/>
        <w:rPr>
          <w:rFonts w:eastAsia="Calibri"/>
          <w:i/>
          <w:sz w:val="20"/>
          <w:szCs w:val="20"/>
          <w:lang w:val="en-US"/>
        </w:rPr>
      </w:pPr>
      <w:r w:rsidRPr="000478B4">
        <w:rPr>
          <w:rFonts w:eastAsia="Calibri"/>
          <w:i/>
          <w:sz w:val="20"/>
          <w:szCs w:val="20"/>
          <w:lang w:val="en-US"/>
        </w:rPr>
        <w:t>*ORCID 0000-0002-7829-7073</w:t>
      </w:r>
    </w:p>
    <w:p w:rsidR="000478B4" w:rsidRPr="00322B79" w:rsidRDefault="0001009F" w:rsidP="000478B4">
      <w:pPr>
        <w:keepLines/>
        <w:widowControl w:val="0"/>
        <w:rPr>
          <w:bCs/>
          <w:i/>
          <w:color w:val="000000"/>
          <w:sz w:val="20"/>
          <w:szCs w:val="20"/>
        </w:rPr>
      </w:pPr>
      <w:r w:rsidRPr="000478B4">
        <w:rPr>
          <w:rFonts w:eastAsia="Calibri"/>
          <w:i/>
          <w:sz w:val="20"/>
          <w:szCs w:val="20"/>
          <w:lang w:val="en-US"/>
        </w:rPr>
        <w:t>**</w:t>
      </w:r>
      <w:r w:rsidR="00C32005" w:rsidRPr="000478B4">
        <w:rPr>
          <w:rFonts w:eastAsia="Calibri"/>
          <w:i/>
          <w:sz w:val="20"/>
          <w:szCs w:val="20"/>
          <w:lang w:val="en-US"/>
        </w:rPr>
        <w:t>ORCID 0000-0001-8065-0529</w:t>
      </w:r>
    </w:p>
    <w:p w:rsidR="000478B4" w:rsidRPr="00322B79" w:rsidRDefault="000478B4" w:rsidP="000478B4">
      <w:pPr>
        <w:keepLines/>
        <w:widowControl w:val="0"/>
        <w:rPr>
          <w:bCs/>
          <w:i/>
          <w:iCs/>
          <w:color w:val="000000"/>
          <w:lang w:val="en-US"/>
        </w:rPr>
      </w:pPr>
      <w:r w:rsidRPr="00322B79">
        <w:rPr>
          <w:bCs/>
          <w:i/>
          <w:iCs/>
          <w:color w:val="000000"/>
          <w:sz w:val="20"/>
          <w:szCs w:val="20"/>
          <w:lang w:val="en-US"/>
        </w:rPr>
        <w:t>_____________________</w:t>
      </w:r>
    </w:p>
    <w:p w:rsidR="000478B4" w:rsidRPr="00322B79" w:rsidRDefault="000478B4" w:rsidP="000478B4">
      <w:pPr>
        <w:keepLines/>
        <w:widowControl w:val="0"/>
        <w:rPr>
          <w:bCs/>
          <w:i/>
          <w:iCs/>
          <w:color w:val="000000"/>
          <w:sz w:val="20"/>
          <w:szCs w:val="20"/>
          <w:lang w:val="en-US"/>
        </w:rPr>
      </w:pPr>
      <w:r w:rsidRPr="00322B79">
        <w:rPr>
          <w:bCs/>
          <w:i/>
          <w:iCs/>
          <w:color w:val="000000"/>
          <w:sz w:val="20"/>
          <w:szCs w:val="20"/>
          <w:lang w:val="en-US"/>
        </w:rPr>
        <w:t xml:space="preserve">© </w:t>
      </w:r>
      <w:proofErr w:type="spellStart"/>
      <w:r w:rsidRPr="00322B79">
        <w:rPr>
          <w:bCs/>
          <w:i/>
          <w:iCs/>
          <w:color w:val="000000"/>
          <w:sz w:val="20"/>
          <w:szCs w:val="20"/>
          <w:lang w:val="en-US"/>
        </w:rPr>
        <w:t>Yehorycheva</w:t>
      </w:r>
      <w:proofErr w:type="spellEnd"/>
      <w:r w:rsidRPr="00322B79">
        <w:rPr>
          <w:bCs/>
          <w:i/>
          <w:iCs/>
          <w:color w:val="000000"/>
          <w:sz w:val="20"/>
          <w:szCs w:val="20"/>
          <w:lang w:val="en-US"/>
        </w:rPr>
        <w:t xml:space="preserve"> S., 2020.</w:t>
      </w:r>
    </w:p>
    <w:p w:rsidR="000478B4" w:rsidRPr="00322B79" w:rsidRDefault="000478B4" w:rsidP="000478B4">
      <w:pPr>
        <w:keepLines/>
        <w:widowControl w:val="0"/>
        <w:rPr>
          <w:bCs/>
          <w:i/>
          <w:iCs/>
          <w:color w:val="000000"/>
          <w:sz w:val="20"/>
          <w:szCs w:val="20"/>
          <w:lang w:val="en-US"/>
        </w:rPr>
      </w:pPr>
      <w:r w:rsidRPr="00322B79">
        <w:rPr>
          <w:bCs/>
          <w:i/>
          <w:iCs/>
          <w:color w:val="000000"/>
          <w:sz w:val="20"/>
          <w:szCs w:val="20"/>
          <w:lang w:val="en-US"/>
        </w:rPr>
        <w:t xml:space="preserve">© </w:t>
      </w:r>
      <w:proofErr w:type="spellStart"/>
      <w:r w:rsidRPr="00322B79">
        <w:rPr>
          <w:bCs/>
          <w:i/>
          <w:iCs/>
          <w:color w:val="000000"/>
          <w:sz w:val="20"/>
          <w:szCs w:val="20"/>
          <w:lang w:val="en-US"/>
        </w:rPr>
        <w:t>Vovchenko</w:t>
      </w:r>
      <w:proofErr w:type="spellEnd"/>
      <w:r w:rsidRPr="00322B79">
        <w:rPr>
          <w:bCs/>
          <w:i/>
          <w:iCs/>
          <w:color w:val="000000"/>
          <w:sz w:val="20"/>
          <w:szCs w:val="20"/>
          <w:lang w:val="en-US"/>
        </w:rPr>
        <w:t xml:space="preserve"> O, 2020.</w:t>
      </w:r>
    </w:p>
    <w:p w:rsidR="00627C55" w:rsidRPr="000478B4" w:rsidRDefault="00627C55" w:rsidP="000478B4">
      <w:pPr>
        <w:contextualSpacing/>
        <w:rPr>
          <w:rFonts w:eastAsia="Calibri"/>
          <w:i/>
          <w:sz w:val="24"/>
          <w:szCs w:val="24"/>
        </w:rPr>
      </w:pPr>
    </w:p>
    <w:p w:rsidR="00B104B0" w:rsidRPr="000478B4" w:rsidRDefault="00F6015A" w:rsidP="000478B4">
      <w:pPr>
        <w:widowControl w:val="0"/>
        <w:ind w:firstLine="709"/>
        <w:rPr>
          <w:rFonts w:eastAsia="Calibri"/>
          <w:sz w:val="24"/>
          <w:szCs w:val="24"/>
          <w:lang w:val="en-US"/>
        </w:rPr>
      </w:pPr>
      <w:proofErr w:type="gramStart"/>
      <w:r w:rsidRPr="000478B4">
        <w:rPr>
          <w:rFonts w:eastAsia="Calibri"/>
          <w:b/>
          <w:sz w:val="24"/>
          <w:szCs w:val="24"/>
          <w:lang w:val="en-US"/>
        </w:rPr>
        <w:t>Introduction.</w:t>
      </w:r>
      <w:proofErr w:type="gramEnd"/>
      <w:r w:rsidR="00EA603A" w:rsidRPr="000478B4">
        <w:rPr>
          <w:rFonts w:eastAsia="Calibri"/>
          <w:b/>
          <w:sz w:val="24"/>
          <w:szCs w:val="24"/>
          <w:lang w:val="en-US"/>
        </w:rPr>
        <w:t xml:space="preserve"> </w:t>
      </w:r>
      <w:r w:rsidR="00B104B0" w:rsidRPr="000478B4">
        <w:rPr>
          <w:rFonts w:eastAsia="Calibri"/>
          <w:sz w:val="24"/>
          <w:szCs w:val="24"/>
          <w:lang w:val="en-US"/>
        </w:rPr>
        <w:t>The banking system of Ukraine plays an important role in the improvement of market relations, structural changes, and economic growth of the country. It largely determines the speed, quality and scale of economic development. The stable functioning of the banking sector ensures the overall macroeconomic stability of a market economy. However, in Ukraine over the past ten to fifteen years, banking crises caused by various reasons have become commonplace, accompanied by capital losses, destabilization of the functioning of economic entities and households, and a decline in general welfare.</w:t>
      </w:r>
    </w:p>
    <w:p w:rsidR="00B104B0" w:rsidRPr="000478B4" w:rsidRDefault="00B104B0" w:rsidP="000478B4">
      <w:pPr>
        <w:widowControl w:val="0"/>
        <w:ind w:firstLine="709"/>
        <w:rPr>
          <w:rFonts w:eastAsia="Calibri"/>
          <w:sz w:val="24"/>
          <w:szCs w:val="24"/>
          <w:lang w:val="en-US"/>
        </w:rPr>
      </w:pPr>
      <w:r w:rsidRPr="000478B4">
        <w:rPr>
          <w:rFonts w:eastAsia="Calibri"/>
          <w:sz w:val="24"/>
          <w:szCs w:val="24"/>
          <w:lang w:val="en-US"/>
        </w:rPr>
        <w:t xml:space="preserve">Addressing the problem of ensuring the financial stability of banks requires a comprehensive, systematic approach and involves the development of relevant recommendations for the use of tools for identifying and assessing threats and responding to them in a timely manner. At the same time, today every bank must not only adapt to changing environmental conditions, counteract the impact of negative factors, but also actively develop, </w:t>
      </w:r>
      <w:r w:rsidR="00546F7A" w:rsidRPr="000478B4">
        <w:rPr>
          <w:rFonts w:eastAsia="Calibri"/>
          <w:sz w:val="24"/>
          <w:szCs w:val="24"/>
          <w:lang w:val="en-US"/>
        </w:rPr>
        <w:t>implementing</w:t>
      </w:r>
      <w:r w:rsidRPr="000478B4">
        <w:rPr>
          <w:rFonts w:eastAsia="Calibri"/>
          <w:sz w:val="24"/>
          <w:szCs w:val="24"/>
          <w:lang w:val="en-US"/>
        </w:rPr>
        <w:t xml:space="preserve"> </w:t>
      </w:r>
      <w:r w:rsidR="00546F7A" w:rsidRPr="000478B4">
        <w:rPr>
          <w:rFonts w:eastAsia="Calibri"/>
          <w:sz w:val="24"/>
          <w:szCs w:val="24"/>
          <w:lang w:val="en-US"/>
        </w:rPr>
        <w:t>innovation</w:t>
      </w:r>
      <w:r w:rsidRPr="000478B4">
        <w:rPr>
          <w:rFonts w:eastAsia="Calibri"/>
          <w:sz w:val="24"/>
          <w:szCs w:val="24"/>
          <w:lang w:val="en-US"/>
        </w:rPr>
        <w:t xml:space="preserve"> products and technologies and appropriate methods and tools of risk management. </w:t>
      </w:r>
      <w:r w:rsidR="00546F7A" w:rsidRPr="000478B4">
        <w:rPr>
          <w:rFonts w:eastAsia="Calibri"/>
          <w:sz w:val="24"/>
          <w:szCs w:val="24"/>
          <w:lang w:val="en-US"/>
        </w:rPr>
        <w:t>This</w:t>
      </w:r>
      <w:r w:rsidRPr="000478B4">
        <w:rPr>
          <w:rFonts w:eastAsia="Calibri"/>
          <w:sz w:val="24"/>
          <w:szCs w:val="24"/>
          <w:lang w:val="en-US"/>
        </w:rPr>
        <w:t xml:space="preserve"> highlights the importance of studying the theoretical and applied foundations of </w:t>
      </w:r>
      <w:r w:rsidR="00367C57" w:rsidRPr="000478B4">
        <w:rPr>
          <w:rFonts w:eastAsia="Calibri"/>
          <w:sz w:val="24"/>
          <w:szCs w:val="24"/>
          <w:lang w:val="en-US"/>
        </w:rPr>
        <w:t xml:space="preserve">the banks’ </w:t>
      </w:r>
      <w:r w:rsidRPr="000478B4">
        <w:rPr>
          <w:rFonts w:eastAsia="Calibri"/>
          <w:sz w:val="24"/>
          <w:szCs w:val="24"/>
          <w:lang w:val="en-US"/>
        </w:rPr>
        <w:t>financial stability.</w:t>
      </w:r>
    </w:p>
    <w:p w:rsidR="00E6152B" w:rsidRPr="000478B4" w:rsidRDefault="00EA603A" w:rsidP="000478B4">
      <w:pPr>
        <w:ind w:firstLine="709"/>
        <w:contextualSpacing/>
        <w:rPr>
          <w:rFonts w:eastAsia="Calibri"/>
          <w:sz w:val="24"/>
          <w:szCs w:val="24"/>
          <w:lang w:val="en-US"/>
        </w:rPr>
      </w:pPr>
      <w:proofErr w:type="gramStart"/>
      <w:r w:rsidRPr="000478B4">
        <w:rPr>
          <w:rFonts w:eastAsia="Calibri"/>
          <w:b/>
          <w:sz w:val="24"/>
          <w:szCs w:val="24"/>
          <w:lang w:val="en-US"/>
        </w:rPr>
        <w:t>Overview of recent researches and publications.</w:t>
      </w:r>
      <w:proofErr w:type="gramEnd"/>
      <w:r w:rsidR="00367C57" w:rsidRPr="000478B4">
        <w:rPr>
          <w:rFonts w:eastAsia="Calibri"/>
          <w:b/>
          <w:sz w:val="24"/>
          <w:szCs w:val="24"/>
          <w:lang w:val="en-US"/>
        </w:rPr>
        <w:t xml:space="preserve"> </w:t>
      </w:r>
      <w:r w:rsidR="00546F7A" w:rsidRPr="000478B4">
        <w:rPr>
          <w:rFonts w:eastAsia="Calibri"/>
          <w:sz w:val="24"/>
          <w:szCs w:val="24"/>
          <w:lang w:val="en-US"/>
        </w:rPr>
        <w:t>For a rather long time f</w:t>
      </w:r>
      <w:r w:rsidR="00E6152B" w:rsidRPr="000478B4">
        <w:rPr>
          <w:rFonts w:eastAsia="Calibri"/>
          <w:sz w:val="24"/>
          <w:szCs w:val="24"/>
          <w:lang w:val="en-US"/>
        </w:rPr>
        <w:t xml:space="preserve">inancial stability has been the subject </w:t>
      </w:r>
      <w:r w:rsidR="000B50E0" w:rsidRPr="000478B4">
        <w:rPr>
          <w:rFonts w:eastAsia="Calibri"/>
          <w:sz w:val="24"/>
          <w:szCs w:val="24"/>
          <w:lang w:val="en-US"/>
        </w:rPr>
        <w:t>for</w:t>
      </w:r>
      <w:r w:rsidR="00E6152B" w:rsidRPr="000478B4">
        <w:rPr>
          <w:rFonts w:eastAsia="Calibri"/>
          <w:sz w:val="24"/>
          <w:szCs w:val="24"/>
          <w:lang w:val="en-US"/>
        </w:rPr>
        <w:t xml:space="preserve"> scientific discussions by both foreign and </w:t>
      </w:r>
      <w:r w:rsidR="000B50E0" w:rsidRPr="000478B4">
        <w:rPr>
          <w:rFonts w:eastAsia="Calibri"/>
          <w:sz w:val="24"/>
          <w:szCs w:val="24"/>
          <w:lang w:val="en-US"/>
        </w:rPr>
        <w:t>Ukrainian</w:t>
      </w:r>
      <w:r w:rsidR="00E6152B" w:rsidRPr="000478B4">
        <w:rPr>
          <w:rFonts w:eastAsia="Calibri"/>
          <w:sz w:val="24"/>
          <w:szCs w:val="24"/>
          <w:lang w:val="en-US"/>
        </w:rPr>
        <w:t xml:space="preserve"> </w:t>
      </w:r>
      <w:r w:rsidR="000B50E0" w:rsidRPr="000478B4">
        <w:rPr>
          <w:rFonts w:eastAsia="Calibri"/>
          <w:sz w:val="24"/>
          <w:szCs w:val="24"/>
          <w:lang w:val="en-US"/>
        </w:rPr>
        <w:t>scholars</w:t>
      </w:r>
      <w:r w:rsidR="00E6152B" w:rsidRPr="000478B4">
        <w:rPr>
          <w:rFonts w:eastAsia="Calibri"/>
          <w:sz w:val="24"/>
          <w:szCs w:val="24"/>
          <w:lang w:val="en-US"/>
        </w:rPr>
        <w:t xml:space="preserve"> who are trying to find methods of forecasting, preventing and neutralizing the crisis in the banking sector</w:t>
      </w:r>
      <w:r w:rsidR="000B50E0" w:rsidRPr="000478B4">
        <w:rPr>
          <w:rFonts w:eastAsia="Calibri"/>
          <w:sz w:val="24"/>
          <w:szCs w:val="24"/>
          <w:lang w:val="en-US"/>
        </w:rPr>
        <w:t xml:space="preserve"> in the early stages</w:t>
      </w:r>
      <w:r w:rsidR="00E6152B" w:rsidRPr="000478B4">
        <w:rPr>
          <w:rFonts w:eastAsia="Calibri"/>
          <w:sz w:val="24"/>
          <w:szCs w:val="24"/>
          <w:lang w:val="en-US"/>
        </w:rPr>
        <w:t xml:space="preserve">. It is worth mentioning the works </w:t>
      </w:r>
      <w:r w:rsidR="001C2C9B" w:rsidRPr="000478B4">
        <w:rPr>
          <w:rFonts w:eastAsia="Calibri"/>
          <w:sz w:val="24"/>
          <w:szCs w:val="24"/>
          <w:lang w:val="en-US"/>
        </w:rPr>
        <w:t xml:space="preserve">by </w:t>
      </w:r>
      <w:r w:rsidR="00CE43F7" w:rsidRPr="000478B4">
        <w:rPr>
          <w:rFonts w:eastAsia="Calibri"/>
          <w:sz w:val="24"/>
          <w:szCs w:val="24"/>
          <w:lang w:val="en-US"/>
        </w:rPr>
        <w:t xml:space="preserve">G. </w:t>
      </w:r>
      <w:proofErr w:type="spellStart"/>
      <w:r w:rsidR="00CE43F7" w:rsidRPr="000478B4">
        <w:rPr>
          <w:rFonts w:eastAsia="Calibri"/>
          <w:sz w:val="24"/>
          <w:szCs w:val="24"/>
          <w:lang w:val="en-US"/>
        </w:rPr>
        <w:t>Afonso</w:t>
      </w:r>
      <w:proofErr w:type="spellEnd"/>
      <w:r w:rsidR="00CE43F7" w:rsidRPr="000478B4">
        <w:rPr>
          <w:rFonts w:eastAsia="Calibri"/>
          <w:sz w:val="24"/>
          <w:szCs w:val="24"/>
          <w:lang w:val="en-US"/>
        </w:rPr>
        <w:t xml:space="preserve">, S. </w:t>
      </w:r>
      <w:proofErr w:type="spellStart"/>
      <w:r w:rsidR="00CE43F7" w:rsidRPr="000478B4">
        <w:rPr>
          <w:rFonts w:eastAsia="Calibri"/>
          <w:sz w:val="24"/>
          <w:szCs w:val="24"/>
          <w:lang w:val="en-US"/>
        </w:rPr>
        <w:t>Cecchetti</w:t>
      </w:r>
      <w:proofErr w:type="spellEnd"/>
      <w:r w:rsidR="00CE43F7" w:rsidRPr="000478B4">
        <w:rPr>
          <w:rFonts w:eastAsia="Calibri"/>
          <w:sz w:val="24"/>
          <w:szCs w:val="24"/>
          <w:lang w:val="en-US"/>
        </w:rPr>
        <w:t xml:space="preserve">, A. </w:t>
      </w:r>
      <w:r w:rsidR="00A3479C" w:rsidRPr="000478B4">
        <w:rPr>
          <w:sz w:val="24"/>
          <w:szCs w:val="24"/>
        </w:rPr>
        <w:t>Crockett</w:t>
      </w:r>
      <w:r w:rsidR="00CE43F7" w:rsidRPr="000478B4">
        <w:rPr>
          <w:sz w:val="24"/>
          <w:szCs w:val="24"/>
          <w:lang w:val="en-US"/>
        </w:rPr>
        <w:t>,</w:t>
      </w:r>
      <w:r w:rsidR="00A3479C" w:rsidRPr="000478B4">
        <w:rPr>
          <w:rFonts w:eastAsia="Calibri"/>
          <w:sz w:val="24"/>
          <w:szCs w:val="24"/>
          <w:lang w:val="en-US"/>
        </w:rPr>
        <w:t xml:space="preserve"> </w:t>
      </w:r>
      <w:r w:rsidR="00E6152B" w:rsidRPr="000478B4">
        <w:rPr>
          <w:rFonts w:eastAsia="Calibri"/>
          <w:sz w:val="24"/>
          <w:szCs w:val="24"/>
          <w:lang w:val="en-US"/>
        </w:rPr>
        <w:t xml:space="preserve">A. </w:t>
      </w:r>
      <w:r w:rsidR="00BD5817" w:rsidRPr="000478B4">
        <w:rPr>
          <w:rFonts w:eastAsia="Calibri"/>
          <w:sz w:val="24"/>
          <w:szCs w:val="24"/>
        </w:rPr>
        <w:t>Demirguc</w:t>
      </w:r>
      <w:r w:rsidR="00BD5817" w:rsidRPr="000478B4">
        <w:rPr>
          <w:rFonts w:ascii="Cambria Math" w:eastAsia="Calibri" w:hAnsi="Cambria Math" w:cs="Cambria Math"/>
          <w:sz w:val="24"/>
          <w:szCs w:val="24"/>
        </w:rPr>
        <w:t>‐</w:t>
      </w:r>
      <w:r w:rsidR="00BD5817" w:rsidRPr="000478B4">
        <w:rPr>
          <w:rFonts w:eastAsia="Calibri"/>
          <w:sz w:val="24"/>
          <w:szCs w:val="24"/>
        </w:rPr>
        <w:t>Kunt</w:t>
      </w:r>
      <w:r w:rsidR="00E6152B" w:rsidRPr="000478B4">
        <w:rPr>
          <w:rFonts w:eastAsia="Calibri"/>
          <w:sz w:val="24"/>
          <w:szCs w:val="24"/>
          <w:lang w:val="en-US"/>
        </w:rPr>
        <w:t xml:space="preserve">, O. </w:t>
      </w:r>
      <w:proofErr w:type="spellStart"/>
      <w:r w:rsidR="00E6152B" w:rsidRPr="000478B4">
        <w:rPr>
          <w:rFonts w:eastAsia="Calibri"/>
          <w:sz w:val="24"/>
          <w:szCs w:val="24"/>
          <w:lang w:val="en-US"/>
        </w:rPr>
        <w:t>Issing</w:t>
      </w:r>
      <w:proofErr w:type="spellEnd"/>
      <w:r w:rsidR="00E6152B" w:rsidRPr="000478B4">
        <w:rPr>
          <w:rFonts w:eastAsia="Calibri"/>
          <w:sz w:val="24"/>
          <w:szCs w:val="24"/>
          <w:lang w:val="en-US"/>
        </w:rPr>
        <w:t xml:space="preserve">, </w:t>
      </w:r>
      <w:r w:rsidR="00CE43F7" w:rsidRPr="000478B4">
        <w:rPr>
          <w:rFonts w:eastAsia="Calibri"/>
          <w:sz w:val="24"/>
          <w:szCs w:val="24"/>
          <w:lang w:val="en-US"/>
        </w:rPr>
        <w:t xml:space="preserve">K. Reinhart, G. </w:t>
      </w:r>
      <w:proofErr w:type="spellStart"/>
      <w:r w:rsidR="00CE43F7" w:rsidRPr="000478B4">
        <w:rPr>
          <w:rFonts w:eastAsia="Calibri"/>
          <w:sz w:val="24"/>
          <w:szCs w:val="24"/>
          <w:lang w:val="en-US"/>
        </w:rPr>
        <w:t>Schinasi</w:t>
      </w:r>
      <w:proofErr w:type="spellEnd"/>
      <w:r w:rsidR="00CE43F7" w:rsidRPr="000478B4">
        <w:rPr>
          <w:rFonts w:eastAsia="Calibri"/>
          <w:sz w:val="24"/>
          <w:szCs w:val="24"/>
          <w:lang w:val="en-US"/>
        </w:rPr>
        <w:t xml:space="preserve">, </w:t>
      </w:r>
      <w:r w:rsidR="001000F7" w:rsidRPr="000478B4">
        <w:rPr>
          <w:rFonts w:eastAsia="Calibri"/>
          <w:sz w:val="24"/>
          <w:szCs w:val="24"/>
          <w:lang w:val="en-US"/>
        </w:rPr>
        <w:t>and X</w:t>
      </w:r>
      <w:r w:rsidR="00A3479C" w:rsidRPr="000478B4">
        <w:rPr>
          <w:rFonts w:eastAsia="Calibri"/>
          <w:sz w:val="24"/>
          <w:szCs w:val="24"/>
          <w:lang w:val="en-US"/>
        </w:rPr>
        <w:t xml:space="preserve">. </w:t>
      </w:r>
      <w:proofErr w:type="spellStart"/>
      <w:r w:rsidR="00A3479C" w:rsidRPr="000478B4">
        <w:rPr>
          <w:rFonts w:eastAsia="Calibri"/>
          <w:sz w:val="24"/>
          <w:szCs w:val="24"/>
          <w:lang w:val="en-US"/>
        </w:rPr>
        <w:t>Vives</w:t>
      </w:r>
      <w:proofErr w:type="spellEnd"/>
      <w:r w:rsidR="00CE43F7" w:rsidRPr="000478B4">
        <w:rPr>
          <w:rFonts w:eastAsia="Calibri"/>
          <w:sz w:val="24"/>
          <w:szCs w:val="24"/>
          <w:lang w:val="en-US"/>
        </w:rPr>
        <w:t>.</w:t>
      </w:r>
      <w:r w:rsidR="00E6152B" w:rsidRPr="000478B4">
        <w:rPr>
          <w:rFonts w:eastAsia="Calibri"/>
          <w:sz w:val="24"/>
          <w:szCs w:val="24"/>
          <w:lang w:val="en-US"/>
        </w:rPr>
        <w:t xml:space="preserve"> However, their research</w:t>
      </w:r>
      <w:r w:rsidR="000B50E0" w:rsidRPr="000478B4">
        <w:rPr>
          <w:rFonts w:eastAsia="Calibri"/>
          <w:sz w:val="24"/>
          <w:szCs w:val="24"/>
          <w:lang w:val="en-US"/>
        </w:rPr>
        <w:t>es</w:t>
      </w:r>
      <w:r w:rsidR="00E6152B" w:rsidRPr="000478B4">
        <w:rPr>
          <w:rFonts w:eastAsia="Calibri"/>
          <w:sz w:val="24"/>
          <w:szCs w:val="24"/>
          <w:lang w:val="en-US"/>
        </w:rPr>
        <w:t xml:space="preserve"> </w:t>
      </w:r>
      <w:r w:rsidR="000B50E0" w:rsidRPr="000478B4">
        <w:rPr>
          <w:rFonts w:eastAsia="Calibri"/>
          <w:sz w:val="24"/>
          <w:szCs w:val="24"/>
          <w:lang w:val="en-US"/>
        </w:rPr>
        <w:t xml:space="preserve">are </w:t>
      </w:r>
      <w:r w:rsidR="00E6152B" w:rsidRPr="000478B4">
        <w:rPr>
          <w:rFonts w:eastAsia="Calibri"/>
          <w:sz w:val="24"/>
          <w:szCs w:val="24"/>
          <w:lang w:val="en-US"/>
        </w:rPr>
        <w:t>mainly concerned with economic processes in countries with developed market econom</w:t>
      </w:r>
      <w:r w:rsidR="000B50E0" w:rsidRPr="000478B4">
        <w:rPr>
          <w:rFonts w:eastAsia="Calibri"/>
          <w:sz w:val="24"/>
          <w:szCs w:val="24"/>
          <w:lang w:val="en-US"/>
        </w:rPr>
        <w:t>y</w:t>
      </w:r>
      <w:r w:rsidR="00E6152B" w:rsidRPr="000478B4">
        <w:rPr>
          <w:rFonts w:eastAsia="Calibri"/>
          <w:sz w:val="24"/>
          <w:szCs w:val="24"/>
          <w:lang w:val="en-US"/>
        </w:rPr>
        <w:t xml:space="preserve"> and effectively functioning institutional mechanisms to ensure financial stability, and therefore require some rethinking for countries with transformational econom</w:t>
      </w:r>
      <w:r w:rsidR="000B50E0" w:rsidRPr="000478B4">
        <w:rPr>
          <w:rFonts w:eastAsia="Calibri"/>
          <w:sz w:val="24"/>
          <w:szCs w:val="24"/>
          <w:lang w:val="en-US"/>
        </w:rPr>
        <w:t>y</w:t>
      </w:r>
      <w:r w:rsidR="00E6152B" w:rsidRPr="000478B4">
        <w:rPr>
          <w:rFonts w:eastAsia="Calibri"/>
          <w:sz w:val="24"/>
          <w:szCs w:val="24"/>
          <w:lang w:val="en-US"/>
        </w:rPr>
        <w:t>.</w:t>
      </w:r>
    </w:p>
    <w:p w:rsidR="00E6152B" w:rsidRPr="000478B4" w:rsidRDefault="00E6152B" w:rsidP="000478B4">
      <w:pPr>
        <w:ind w:firstLine="709"/>
        <w:contextualSpacing/>
        <w:rPr>
          <w:rFonts w:eastAsia="Calibri"/>
          <w:sz w:val="24"/>
          <w:szCs w:val="24"/>
        </w:rPr>
      </w:pPr>
      <w:r w:rsidRPr="000478B4">
        <w:rPr>
          <w:rFonts w:eastAsia="Calibri"/>
          <w:sz w:val="24"/>
          <w:szCs w:val="24"/>
          <w:lang w:val="en-US"/>
        </w:rPr>
        <w:t xml:space="preserve">Among domestic </w:t>
      </w:r>
      <w:r w:rsidR="000B50E0" w:rsidRPr="000478B4">
        <w:rPr>
          <w:rFonts w:eastAsia="Calibri"/>
          <w:sz w:val="24"/>
          <w:szCs w:val="24"/>
          <w:lang w:val="en-US"/>
        </w:rPr>
        <w:t>scholars</w:t>
      </w:r>
      <w:r w:rsidRPr="000478B4">
        <w:rPr>
          <w:rFonts w:eastAsia="Calibri"/>
          <w:sz w:val="24"/>
          <w:szCs w:val="24"/>
          <w:lang w:val="en-US"/>
        </w:rPr>
        <w:t xml:space="preserve"> who have made a significant contribution to the development of theory and methods of assessing and ensuring the financial stability of the banking sector as a whole and individual banks in Ukraine, it is necessary to mention O. </w:t>
      </w:r>
      <w:proofErr w:type="spellStart"/>
      <w:r w:rsidRPr="000478B4">
        <w:rPr>
          <w:rFonts w:eastAsia="Calibri"/>
          <w:sz w:val="24"/>
          <w:szCs w:val="24"/>
          <w:lang w:val="en-US"/>
        </w:rPr>
        <w:t>Baranovsky</w:t>
      </w:r>
      <w:proofErr w:type="spellEnd"/>
      <w:r w:rsidRPr="000478B4">
        <w:rPr>
          <w:rFonts w:eastAsia="Calibri"/>
          <w:sz w:val="24"/>
          <w:szCs w:val="24"/>
          <w:lang w:val="en-US"/>
        </w:rPr>
        <w:t xml:space="preserve">, I. </w:t>
      </w:r>
      <w:proofErr w:type="spellStart"/>
      <w:r w:rsidRPr="000478B4">
        <w:rPr>
          <w:rFonts w:eastAsia="Calibri"/>
          <w:sz w:val="24"/>
          <w:szCs w:val="24"/>
          <w:lang w:val="en-US"/>
        </w:rPr>
        <w:t>Bielova</w:t>
      </w:r>
      <w:proofErr w:type="spellEnd"/>
      <w:r w:rsidRPr="000478B4">
        <w:rPr>
          <w:rFonts w:eastAsia="Calibri"/>
          <w:sz w:val="24"/>
          <w:szCs w:val="24"/>
          <w:lang w:val="en-US"/>
        </w:rPr>
        <w:t xml:space="preserve">, </w:t>
      </w:r>
      <w:r w:rsidR="001000F7" w:rsidRPr="000478B4">
        <w:rPr>
          <w:rFonts w:eastAsia="Calibri"/>
          <w:sz w:val="24"/>
          <w:szCs w:val="24"/>
          <w:lang w:val="en-US"/>
        </w:rPr>
        <w:t xml:space="preserve">I. </w:t>
      </w:r>
      <w:proofErr w:type="spellStart"/>
      <w:r w:rsidR="001000F7" w:rsidRPr="000478B4">
        <w:rPr>
          <w:rFonts w:eastAsia="Calibri"/>
          <w:sz w:val="24"/>
          <w:szCs w:val="24"/>
          <w:lang w:val="en-US"/>
        </w:rPr>
        <w:t>Chmutova</w:t>
      </w:r>
      <w:proofErr w:type="spellEnd"/>
      <w:r w:rsidR="001000F7" w:rsidRPr="000478B4">
        <w:rPr>
          <w:rFonts w:eastAsia="Calibri"/>
          <w:sz w:val="24"/>
          <w:szCs w:val="24"/>
          <w:lang w:val="en-US"/>
        </w:rPr>
        <w:t xml:space="preserve">, </w:t>
      </w:r>
      <w:proofErr w:type="spellStart"/>
      <w:r w:rsidR="00546F7A" w:rsidRPr="000478B4">
        <w:rPr>
          <w:rFonts w:eastAsia="Calibri"/>
          <w:sz w:val="24"/>
          <w:szCs w:val="24"/>
          <w:lang w:val="en-US"/>
        </w:rPr>
        <w:t>Zh</w:t>
      </w:r>
      <w:proofErr w:type="spellEnd"/>
      <w:r w:rsidR="001000F7" w:rsidRPr="000478B4">
        <w:rPr>
          <w:rFonts w:eastAsia="Calibri"/>
          <w:sz w:val="24"/>
          <w:szCs w:val="24"/>
          <w:lang w:val="en-US"/>
        </w:rPr>
        <w:t>. </w:t>
      </w:r>
      <w:proofErr w:type="spellStart"/>
      <w:r w:rsidR="001000F7" w:rsidRPr="000478B4">
        <w:rPr>
          <w:rFonts w:eastAsia="Calibri"/>
          <w:sz w:val="24"/>
          <w:szCs w:val="24"/>
          <w:lang w:val="en-US"/>
        </w:rPr>
        <w:t>Dov</w:t>
      </w:r>
      <w:r w:rsidR="00546F7A" w:rsidRPr="000478B4">
        <w:rPr>
          <w:rFonts w:eastAsia="Calibri"/>
          <w:sz w:val="24"/>
          <w:szCs w:val="24"/>
          <w:lang w:val="en-US"/>
        </w:rPr>
        <w:t>h</w:t>
      </w:r>
      <w:r w:rsidR="001000F7" w:rsidRPr="000478B4">
        <w:rPr>
          <w:rFonts w:eastAsia="Calibri"/>
          <w:sz w:val="24"/>
          <w:szCs w:val="24"/>
          <w:lang w:val="en-US"/>
        </w:rPr>
        <w:t>an</w:t>
      </w:r>
      <w:proofErr w:type="spellEnd"/>
      <w:r w:rsidR="001000F7" w:rsidRPr="000478B4">
        <w:rPr>
          <w:rFonts w:eastAsia="Calibri"/>
          <w:sz w:val="24"/>
          <w:szCs w:val="24"/>
          <w:lang w:val="en-US"/>
        </w:rPr>
        <w:t xml:space="preserve">, </w:t>
      </w:r>
      <w:r w:rsidRPr="000478B4">
        <w:rPr>
          <w:rFonts w:eastAsia="Calibri"/>
          <w:sz w:val="24"/>
          <w:szCs w:val="24"/>
          <w:lang w:val="en-US"/>
        </w:rPr>
        <w:t>O.</w:t>
      </w:r>
      <w:r w:rsidR="001000F7" w:rsidRPr="000478B4">
        <w:rPr>
          <w:rFonts w:eastAsia="Calibri"/>
          <w:sz w:val="24"/>
          <w:szCs w:val="24"/>
          <w:lang w:val="en-US"/>
        </w:rPr>
        <w:t> </w:t>
      </w:r>
      <w:proofErr w:type="spellStart"/>
      <w:r w:rsidR="004F61BD" w:rsidRPr="000478B4">
        <w:rPr>
          <w:rFonts w:eastAsia="Calibri"/>
          <w:sz w:val="24"/>
          <w:szCs w:val="24"/>
          <w:lang w:val="en-US"/>
        </w:rPr>
        <w:t>H</w:t>
      </w:r>
      <w:r w:rsidRPr="000478B4">
        <w:rPr>
          <w:rFonts w:eastAsia="Calibri"/>
          <w:sz w:val="24"/>
          <w:szCs w:val="24"/>
          <w:lang w:val="en-US"/>
        </w:rPr>
        <w:t>olovko</w:t>
      </w:r>
      <w:proofErr w:type="spellEnd"/>
      <w:r w:rsidRPr="000478B4">
        <w:rPr>
          <w:rFonts w:eastAsia="Calibri"/>
          <w:sz w:val="24"/>
          <w:szCs w:val="24"/>
          <w:lang w:val="en-US"/>
        </w:rPr>
        <w:t xml:space="preserve">, </w:t>
      </w:r>
      <w:r w:rsidR="001000F7" w:rsidRPr="000478B4">
        <w:rPr>
          <w:rFonts w:eastAsia="Calibri"/>
          <w:sz w:val="24"/>
          <w:szCs w:val="24"/>
          <w:lang w:val="en-US"/>
        </w:rPr>
        <w:t>M. </w:t>
      </w:r>
      <w:proofErr w:type="spellStart"/>
      <w:r w:rsidR="001000F7" w:rsidRPr="000478B4">
        <w:rPr>
          <w:rFonts w:eastAsia="Calibri"/>
          <w:sz w:val="24"/>
          <w:szCs w:val="24"/>
          <w:lang w:val="en-US"/>
        </w:rPr>
        <w:t>Khutorna</w:t>
      </w:r>
      <w:proofErr w:type="spellEnd"/>
      <w:r w:rsidR="001000F7" w:rsidRPr="000478B4">
        <w:rPr>
          <w:rFonts w:eastAsia="Calibri"/>
          <w:sz w:val="24"/>
          <w:szCs w:val="24"/>
          <w:lang w:val="en-US"/>
        </w:rPr>
        <w:t xml:space="preserve">, O. </w:t>
      </w:r>
      <w:proofErr w:type="spellStart"/>
      <w:r w:rsidR="001000F7" w:rsidRPr="000478B4">
        <w:rPr>
          <w:rFonts w:eastAsia="Calibri"/>
          <w:sz w:val="24"/>
          <w:szCs w:val="24"/>
          <w:lang w:val="en-US"/>
        </w:rPr>
        <w:t>Kolodiziev</w:t>
      </w:r>
      <w:proofErr w:type="spellEnd"/>
      <w:r w:rsidR="001000F7" w:rsidRPr="000478B4">
        <w:rPr>
          <w:rFonts w:eastAsia="Calibri"/>
          <w:sz w:val="24"/>
          <w:szCs w:val="24"/>
          <w:lang w:val="en-US"/>
        </w:rPr>
        <w:t xml:space="preserve">, </w:t>
      </w:r>
      <w:r w:rsidRPr="000478B4">
        <w:rPr>
          <w:rFonts w:eastAsia="Calibri"/>
          <w:sz w:val="24"/>
          <w:szCs w:val="24"/>
          <w:lang w:val="en-US"/>
        </w:rPr>
        <w:t xml:space="preserve">V. </w:t>
      </w:r>
      <w:proofErr w:type="spellStart"/>
      <w:r w:rsidRPr="000478B4">
        <w:rPr>
          <w:rFonts w:eastAsia="Calibri"/>
          <w:sz w:val="24"/>
          <w:szCs w:val="24"/>
          <w:lang w:val="en-US"/>
        </w:rPr>
        <w:t>Kovalenko</w:t>
      </w:r>
      <w:proofErr w:type="spellEnd"/>
      <w:r w:rsidRPr="000478B4">
        <w:rPr>
          <w:rFonts w:eastAsia="Calibri"/>
          <w:sz w:val="24"/>
          <w:szCs w:val="24"/>
          <w:lang w:val="en-US"/>
        </w:rPr>
        <w:t xml:space="preserve">, V. </w:t>
      </w:r>
      <w:proofErr w:type="spellStart"/>
      <w:r w:rsidRPr="000478B4">
        <w:rPr>
          <w:rFonts w:eastAsia="Calibri"/>
          <w:sz w:val="24"/>
          <w:szCs w:val="24"/>
          <w:lang w:val="en-US"/>
        </w:rPr>
        <w:t>Mishchenko</w:t>
      </w:r>
      <w:proofErr w:type="spellEnd"/>
      <w:r w:rsidRPr="000478B4">
        <w:rPr>
          <w:rFonts w:eastAsia="Calibri"/>
          <w:sz w:val="24"/>
          <w:szCs w:val="24"/>
          <w:lang w:val="en-US"/>
        </w:rPr>
        <w:t>, N.</w:t>
      </w:r>
      <w:r w:rsidR="001000F7" w:rsidRPr="000478B4">
        <w:rPr>
          <w:rFonts w:eastAsia="Calibri"/>
          <w:sz w:val="24"/>
          <w:szCs w:val="24"/>
          <w:lang w:val="en-US"/>
        </w:rPr>
        <w:t> </w:t>
      </w:r>
      <w:proofErr w:type="spellStart"/>
      <w:r w:rsidRPr="000478B4">
        <w:rPr>
          <w:rFonts w:eastAsia="Calibri"/>
          <w:sz w:val="24"/>
          <w:szCs w:val="24"/>
          <w:lang w:val="en-US"/>
        </w:rPr>
        <w:t>Po</w:t>
      </w:r>
      <w:r w:rsidR="004F61BD" w:rsidRPr="000478B4">
        <w:rPr>
          <w:rFonts w:eastAsia="Calibri"/>
          <w:sz w:val="24"/>
          <w:szCs w:val="24"/>
          <w:lang w:val="en-US"/>
        </w:rPr>
        <w:t>h</w:t>
      </w:r>
      <w:r w:rsidRPr="000478B4">
        <w:rPr>
          <w:rFonts w:eastAsia="Calibri"/>
          <w:sz w:val="24"/>
          <w:szCs w:val="24"/>
          <w:lang w:val="en-US"/>
        </w:rPr>
        <w:t>orelenko</w:t>
      </w:r>
      <w:proofErr w:type="spellEnd"/>
      <w:r w:rsidRPr="000478B4">
        <w:rPr>
          <w:rFonts w:eastAsia="Calibri"/>
          <w:sz w:val="24"/>
          <w:szCs w:val="24"/>
          <w:lang w:val="en-US"/>
        </w:rPr>
        <w:t xml:space="preserve">, </w:t>
      </w:r>
      <w:r w:rsidR="001000F7" w:rsidRPr="000478B4">
        <w:rPr>
          <w:rFonts w:eastAsia="Calibri"/>
          <w:sz w:val="24"/>
          <w:szCs w:val="24"/>
          <w:lang w:val="en-US"/>
        </w:rPr>
        <w:t xml:space="preserve">O. </w:t>
      </w:r>
      <w:proofErr w:type="spellStart"/>
      <w:r w:rsidR="001000F7" w:rsidRPr="000478B4">
        <w:rPr>
          <w:rFonts w:eastAsia="Calibri"/>
          <w:sz w:val="24"/>
          <w:szCs w:val="24"/>
          <w:lang w:val="en-US"/>
        </w:rPr>
        <w:t>Vovchak</w:t>
      </w:r>
      <w:proofErr w:type="spellEnd"/>
      <w:r w:rsidR="001000F7" w:rsidRPr="000478B4">
        <w:rPr>
          <w:rFonts w:eastAsia="Calibri"/>
          <w:sz w:val="24"/>
          <w:szCs w:val="24"/>
          <w:lang w:val="en-US"/>
        </w:rPr>
        <w:t xml:space="preserve">, </w:t>
      </w:r>
      <w:r w:rsidRPr="000478B4">
        <w:rPr>
          <w:rFonts w:eastAsia="Calibri"/>
          <w:sz w:val="24"/>
          <w:szCs w:val="24"/>
          <w:lang w:val="en-US"/>
        </w:rPr>
        <w:t xml:space="preserve">and others. Appreciating their contribution to substantiating the </w:t>
      </w:r>
      <w:r w:rsidR="007E2853" w:rsidRPr="000478B4">
        <w:rPr>
          <w:rFonts w:eastAsia="Calibri"/>
          <w:sz w:val="24"/>
          <w:szCs w:val="24"/>
          <w:lang w:val="en-US"/>
        </w:rPr>
        <w:t xml:space="preserve">foundations </w:t>
      </w:r>
      <w:r w:rsidRPr="000478B4">
        <w:rPr>
          <w:rFonts w:eastAsia="Calibri"/>
          <w:sz w:val="24"/>
          <w:szCs w:val="24"/>
          <w:lang w:val="en-US"/>
        </w:rPr>
        <w:t>of banking stability, it should be emphasized that the constant emergence of new problems in this area requires in-depth research on both the content of the concept of financial stability of banks and applied aspects of its monitoring to prevent crises.</w:t>
      </w:r>
    </w:p>
    <w:p w:rsidR="00D02A8C" w:rsidRPr="000478B4" w:rsidRDefault="00D02A8C" w:rsidP="000478B4">
      <w:pPr>
        <w:widowControl w:val="0"/>
        <w:ind w:firstLine="709"/>
        <w:rPr>
          <w:rFonts w:eastAsia="Calibri"/>
          <w:b/>
          <w:sz w:val="24"/>
          <w:szCs w:val="24"/>
        </w:rPr>
      </w:pPr>
      <w:r w:rsidRPr="000478B4">
        <w:rPr>
          <w:rFonts w:eastAsia="Calibri"/>
          <w:b/>
          <w:sz w:val="24"/>
          <w:szCs w:val="24"/>
          <w:lang w:val="en-US"/>
        </w:rPr>
        <w:t xml:space="preserve">The </w:t>
      </w:r>
      <w:r w:rsidR="0098794C" w:rsidRPr="000478B4">
        <w:rPr>
          <w:rFonts w:eastAsia="Calibri"/>
          <w:b/>
          <w:sz w:val="24"/>
          <w:szCs w:val="24"/>
          <w:lang w:val="en-US"/>
        </w:rPr>
        <w:t>aim</w:t>
      </w:r>
      <w:r w:rsidRPr="000478B4">
        <w:rPr>
          <w:rFonts w:eastAsia="Calibri"/>
          <w:b/>
          <w:sz w:val="24"/>
          <w:szCs w:val="24"/>
          <w:lang w:val="en-US"/>
        </w:rPr>
        <w:t xml:space="preserve"> of the article </w:t>
      </w:r>
      <w:r w:rsidRPr="000478B4">
        <w:rPr>
          <w:rFonts w:eastAsia="Calibri"/>
          <w:sz w:val="24"/>
          <w:szCs w:val="24"/>
          <w:lang w:val="en-US"/>
        </w:rPr>
        <w:t>is to develop approaches to determining the financial stability of banks and to identify opportunities for its monitoring in Ukraine on the basis of publicly available statistical data of the National Bank of Ukraine</w:t>
      </w:r>
      <w:r w:rsidRPr="000478B4">
        <w:rPr>
          <w:rFonts w:eastAsia="Calibri"/>
          <w:b/>
          <w:sz w:val="24"/>
          <w:szCs w:val="24"/>
          <w:lang w:val="en-US"/>
        </w:rPr>
        <w:t>.</w:t>
      </w:r>
    </w:p>
    <w:p w:rsidR="00BD5817" w:rsidRPr="000478B4" w:rsidRDefault="0098794C" w:rsidP="000478B4">
      <w:pPr>
        <w:widowControl w:val="0"/>
        <w:ind w:firstLine="709"/>
        <w:rPr>
          <w:sz w:val="24"/>
          <w:szCs w:val="24"/>
          <w:shd w:val="clear" w:color="auto" w:fill="FFFFFF"/>
          <w:lang w:val="en-US"/>
        </w:rPr>
      </w:pPr>
      <w:proofErr w:type="gramStart"/>
      <w:r w:rsidRPr="000478B4">
        <w:rPr>
          <w:b/>
          <w:sz w:val="24"/>
          <w:szCs w:val="24"/>
          <w:shd w:val="clear" w:color="auto" w:fill="FFFFFF"/>
          <w:lang w:val="en-US"/>
        </w:rPr>
        <w:t>Basic material</w:t>
      </w:r>
      <w:r w:rsidR="00330240" w:rsidRPr="000478B4">
        <w:rPr>
          <w:b/>
          <w:sz w:val="24"/>
          <w:szCs w:val="24"/>
          <w:shd w:val="clear" w:color="auto" w:fill="FFFFFF"/>
          <w:lang w:val="en-US"/>
        </w:rPr>
        <w:t xml:space="preserve"> and results.</w:t>
      </w:r>
      <w:proofErr w:type="gramEnd"/>
      <w:r w:rsidR="00BD5817" w:rsidRPr="000478B4">
        <w:rPr>
          <w:sz w:val="24"/>
          <w:szCs w:val="24"/>
        </w:rPr>
        <w:t xml:space="preserve"> </w:t>
      </w:r>
      <w:r w:rsidR="00BD5817" w:rsidRPr="000478B4">
        <w:rPr>
          <w:sz w:val="24"/>
          <w:szCs w:val="24"/>
          <w:shd w:val="clear" w:color="auto" w:fill="FFFFFF"/>
          <w:lang w:val="en-US"/>
        </w:rPr>
        <w:t xml:space="preserve">The content of the concept of financial stability is undoubtedly </w:t>
      </w:r>
      <w:r w:rsidR="00BD5817" w:rsidRPr="000478B4">
        <w:rPr>
          <w:sz w:val="24"/>
          <w:szCs w:val="24"/>
          <w:shd w:val="clear" w:color="auto" w:fill="FFFFFF"/>
          <w:lang w:val="en-US"/>
        </w:rPr>
        <w:lastRenderedPageBreak/>
        <w:t xml:space="preserve">complex and multifaceted in terms of its internal components and external factors. Historically, the path to understanding it was through the </w:t>
      </w:r>
      <w:r w:rsidR="004D67FC" w:rsidRPr="000478B4">
        <w:rPr>
          <w:sz w:val="24"/>
          <w:szCs w:val="24"/>
          <w:shd w:val="clear" w:color="auto" w:fill="FFFFFF"/>
          <w:lang w:val="en-US"/>
        </w:rPr>
        <w:t>awareness</w:t>
      </w:r>
      <w:r w:rsidR="00BD5817" w:rsidRPr="000478B4">
        <w:rPr>
          <w:sz w:val="24"/>
          <w:szCs w:val="24"/>
          <w:shd w:val="clear" w:color="auto" w:fill="FFFFFF"/>
          <w:lang w:val="en-US"/>
        </w:rPr>
        <w:t xml:space="preserve"> of the inevitability of periodic financial instability (the works of J. Keynes, I. Fisher, H. Minsky, J. </w:t>
      </w:r>
      <w:proofErr w:type="spellStart"/>
      <w:r w:rsidR="00BD5817" w:rsidRPr="000478B4">
        <w:rPr>
          <w:sz w:val="24"/>
          <w:szCs w:val="24"/>
          <w:shd w:val="clear" w:color="auto" w:fill="FFFFFF"/>
          <w:lang w:val="en-US"/>
        </w:rPr>
        <w:t>Stiglitz</w:t>
      </w:r>
      <w:proofErr w:type="spellEnd"/>
      <w:r w:rsidR="00BD5817" w:rsidRPr="000478B4">
        <w:rPr>
          <w:sz w:val="24"/>
          <w:szCs w:val="24"/>
          <w:shd w:val="clear" w:color="auto" w:fill="FFFFFF"/>
          <w:lang w:val="en-US"/>
        </w:rPr>
        <w:t xml:space="preserve"> [1], A. </w:t>
      </w:r>
      <w:proofErr w:type="spellStart"/>
      <w:r w:rsidR="004D67FC" w:rsidRPr="000478B4">
        <w:rPr>
          <w:sz w:val="24"/>
          <w:szCs w:val="24"/>
          <w:shd w:val="clear" w:color="auto" w:fill="FFFFFF"/>
          <w:lang w:val="en-US"/>
        </w:rPr>
        <w:t>Demirguc</w:t>
      </w:r>
      <w:r w:rsidR="004D67FC" w:rsidRPr="000478B4">
        <w:rPr>
          <w:rFonts w:ascii="Cambria Math" w:hAnsi="Cambria Math" w:cs="Cambria Math"/>
          <w:sz w:val="24"/>
          <w:szCs w:val="24"/>
          <w:shd w:val="clear" w:color="auto" w:fill="FFFFFF"/>
          <w:lang w:val="en-US"/>
        </w:rPr>
        <w:t>‐</w:t>
      </w:r>
      <w:r w:rsidR="004D67FC" w:rsidRPr="000478B4">
        <w:rPr>
          <w:sz w:val="24"/>
          <w:szCs w:val="24"/>
          <w:shd w:val="clear" w:color="auto" w:fill="FFFFFF"/>
          <w:lang w:val="en-US"/>
        </w:rPr>
        <w:t>Kunt</w:t>
      </w:r>
      <w:proofErr w:type="spellEnd"/>
      <w:r w:rsidR="004D67FC" w:rsidRPr="000478B4">
        <w:rPr>
          <w:sz w:val="24"/>
          <w:szCs w:val="24"/>
          <w:shd w:val="clear" w:color="auto" w:fill="FFFFFF"/>
          <w:lang w:val="en-US"/>
        </w:rPr>
        <w:t xml:space="preserve"> </w:t>
      </w:r>
      <w:r w:rsidR="00BD5817" w:rsidRPr="000478B4">
        <w:rPr>
          <w:sz w:val="24"/>
          <w:szCs w:val="24"/>
          <w:shd w:val="clear" w:color="auto" w:fill="FFFFFF"/>
          <w:lang w:val="en-US"/>
        </w:rPr>
        <w:t>[2] and others), which could have, according to</w:t>
      </w:r>
      <w:r w:rsidR="004D67FC" w:rsidRPr="000478B4">
        <w:rPr>
          <w:sz w:val="24"/>
          <w:szCs w:val="24"/>
          <w:shd w:val="clear" w:color="auto" w:fill="FFFFFF"/>
          <w:lang w:val="en-US"/>
        </w:rPr>
        <w:t xml:space="preserve"> the</w:t>
      </w:r>
      <w:r w:rsidR="00BD5817" w:rsidRPr="000478B4">
        <w:rPr>
          <w:sz w:val="24"/>
          <w:szCs w:val="24"/>
          <w:shd w:val="clear" w:color="auto" w:fill="FFFFFF"/>
          <w:lang w:val="en-US"/>
        </w:rPr>
        <w:t xml:space="preserve"> </w:t>
      </w:r>
      <w:r w:rsidR="004D67FC" w:rsidRPr="000478B4">
        <w:rPr>
          <w:sz w:val="24"/>
          <w:szCs w:val="24"/>
          <w:shd w:val="clear" w:color="auto" w:fill="FFFFFF"/>
          <w:lang w:val="en-US"/>
        </w:rPr>
        <w:t>scholars</w:t>
      </w:r>
      <w:r w:rsidR="00BD5817" w:rsidRPr="000478B4">
        <w:rPr>
          <w:sz w:val="24"/>
          <w:szCs w:val="24"/>
          <w:shd w:val="clear" w:color="auto" w:fill="FFFFFF"/>
          <w:lang w:val="en-US"/>
        </w:rPr>
        <w:t>, both endogenous and exogenous</w:t>
      </w:r>
      <w:r w:rsidR="004D67FC" w:rsidRPr="000478B4">
        <w:rPr>
          <w:sz w:val="24"/>
          <w:szCs w:val="24"/>
          <w:shd w:val="clear" w:color="auto" w:fill="FFFFFF"/>
          <w:lang w:val="en-US"/>
        </w:rPr>
        <w:t xml:space="preserve"> nature</w:t>
      </w:r>
      <w:r w:rsidR="00BD5817" w:rsidRPr="000478B4">
        <w:rPr>
          <w:sz w:val="24"/>
          <w:szCs w:val="24"/>
          <w:shd w:val="clear" w:color="auto" w:fill="FFFFFF"/>
          <w:lang w:val="en-US"/>
        </w:rPr>
        <w:t>. Further attempts to explain financial stability only through its opposite (the so-called reverse approach) have been thoroughly criticized, and currently the direct approach to the conceptualization of financial stability, which involves the disclosure of its economic content, specific features, properties and factors of influence</w:t>
      </w:r>
      <w:r w:rsidR="004D67FC" w:rsidRPr="000478B4">
        <w:rPr>
          <w:sz w:val="24"/>
          <w:szCs w:val="24"/>
          <w:shd w:val="clear" w:color="auto" w:fill="FFFFFF"/>
          <w:lang w:val="en-US"/>
        </w:rPr>
        <w:t>, is predominant.</w:t>
      </w:r>
    </w:p>
    <w:p w:rsidR="004D67FC" w:rsidRPr="000478B4" w:rsidRDefault="004D67FC" w:rsidP="000478B4">
      <w:pPr>
        <w:widowControl w:val="0"/>
        <w:ind w:firstLine="709"/>
        <w:rPr>
          <w:rFonts w:eastAsia="Calibri"/>
          <w:bCs/>
          <w:iCs/>
          <w:sz w:val="24"/>
          <w:szCs w:val="24"/>
          <w:lang w:val="en-US"/>
        </w:rPr>
      </w:pPr>
      <w:r w:rsidRPr="000478B4">
        <w:rPr>
          <w:rFonts w:eastAsia="Calibri"/>
          <w:bCs/>
          <w:iCs/>
          <w:sz w:val="24"/>
          <w:szCs w:val="24"/>
          <w:lang w:val="en-US"/>
        </w:rPr>
        <w:t xml:space="preserve">Modern scientific literature contains different scientific approaches to the </w:t>
      </w:r>
      <w:proofErr w:type="spellStart"/>
      <w:r w:rsidRPr="000478B4">
        <w:rPr>
          <w:rFonts w:eastAsia="Calibri"/>
          <w:bCs/>
          <w:iCs/>
          <w:sz w:val="24"/>
          <w:szCs w:val="24"/>
          <w:lang w:val="en-US"/>
        </w:rPr>
        <w:t>typification</w:t>
      </w:r>
      <w:proofErr w:type="spellEnd"/>
      <w:r w:rsidRPr="000478B4">
        <w:rPr>
          <w:rFonts w:eastAsia="Calibri"/>
          <w:bCs/>
          <w:iCs/>
          <w:sz w:val="24"/>
          <w:szCs w:val="24"/>
          <w:lang w:val="en-US"/>
        </w:rPr>
        <w:t xml:space="preserve"> of financial stability depending on the types of objects studied. Within the framework of the system approach the financial stability of the </w:t>
      </w:r>
      <w:r w:rsidR="00C51660" w:rsidRPr="000478B4">
        <w:rPr>
          <w:rFonts w:eastAsia="Calibri"/>
          <w:bCs/>
          <w:iCs/>
          <w:sz w:val="24"/>
          <w:szCs w:val="24"/>
          <w:lang w:val="en-US"/>
        </w:rPr>
        <w:t>economic system</w:t>
      </w:r>
      <w:r w:rsidRPr="000478B4">
        <w:rPr>
          <w:rFonts w:eastAsia="Calibri"/>
          <w:bCs/>
          <w:iCs/>
          <w:sz w:val="24"/>
          <w:szCs w:val="24"/>
          <w:lang w:val="en-US"/>
        </w:rPr>
        <w:t xml:space="preserve"> [3], the financial system [4], the banking system is considered [5; 6]; from the point of view of the institutional approach </w:t>
      </w:r>
      <w:r w:rsidR="00C51660" w:rsidRPr="000478B4">
        <w:rPr>
          <w:rFonts w:eastAsia="Calibri"/>
          <w:bCs/>
          <w:iCs/>
          <w:sz w:val="24"/>
          <w:szCs w:val="24"/>
          <w:lang w:val="en-US"/>
        </w:rPr>
        <w:t>–</w:t>
      </w:r>
      <w:r w:rsidRPr="000478B4">
        <w:rPr>
          <w:rFonts w:eastAsia="Calibri"/>
          <w:bCs/>
          <w:iCs/>
          <w:sz w:val="24"/>
          <w:szCs w:val="24"/>
          <w:lang w:val="en-US"/>
        </w:rPr>
        <w:t xml:space="preserve"> financial stability of business entities, commercial banks, households. At the same time, the scientific interpretation of the concept of financial stability of the bank is still insufficiently studied, and its </w:t>
      </w:r>
      <w:r w:rsidR="00C51660" w:rsidRPr="000478B4">
        <w:rPr>
          <w:rFonts w:eastAsia="Calibri"/>
          <w:bCs/>
          <w:iCs/>
          <w:sz w:val="24"/>
          <w:szCs w:val="24"/>
          <w:lang w:val="en-US"/>
        </w:rPr>
        <w:t>theoretical</w:t>
      </w:r>
      <w:r w:rsidRPr="000478B4">
        <w:rPr>
          <w:rFonts w:eastAsia="Calibri"/>
          <w:bCs/>
          <w:iCs/>
          <w:sz w:val="24"/>
          <w:szCs w:val="24"/>
          <w:lang w:val="en-US"/>
        </w:rPr>
        <w:t xml:space="preserve"> </w:t>
      </w:r>
      <w:r w:rsidR="00C51660" w:rsidRPr="000478B4">
        <w:rPr>
          <w:rFonts w:eastAsia="Calibri"/>
          <w:bCs/>
          <w:iCs/>
          <w:sz w:val="24"/>
          <w:szCs w:val="24"/>
          <w:lang w:val="en-US"/>
        </w:rPr>
        <w:t>investigation</w:t>
      </w:r>
      <w:r w:rsidRPr="000478B4">
        <w:rPr>
          <w:rFonts w:eastAsia="Calibri"/>
          <w:bCs/>
          <w:iCs/>
          <w:sz w:val="24"/>
          <w:szCs w:val="24"/>
          <w:lang w:val="en-US"/>
        </w:rPr>
        <w:t xml:space="preserve"> is fragmentary. Thus, </w:t>
      </w:r>
      <w:r w:rsidR="00C51660" w:rsidRPr="000478B4">
        <w:rPr>
          <w:rFonts w:eastAsia="Calibri"/>
          <w:bCs/>
          <w:iCs/>
          <w:sz w:val="24"/>
          <w:szCs w:val="24"/>
          <w:lang w:val="en-US"/>
        </w:rPr>
        <w:t>H</w:t>
      </w:r>
      <w:r w:rsidRPr="000478B4">
        <w:rPr>
          <w:rFonts w:eastAsia="Calibri"/>
          <w:bCs/>
          <w:iCs/>
          <w:sz w:val="24"/>
          <w:szCs w:val="24"/>
          <w:lang w:val="en-US"/>
        </w:rPr>
        <w:t>.</w:t>
      </w:r>
      <w:r w:rsidR="00C51660" w:rsidRPr="000478B4">
        <w:rPr>
          <w:rFonts w:eastAsia="Calibri"/>
          <w:bCs/>
          <w:iCs/>
          <w:sz w:val="24"/>
          <w:szCs w:val="24"/>
          <w:lang w:val="en-US"/>
        </w:rPr>
        <w:t> </w:t>
      </w:r>
      <w:proofErr w:type="spellStart"/>
      <w:r w:rsidRPr="000478B4">
        <w:rPr>
          <w:rFonts w:eastAsia="Calibri"/>
          <w:bCs/>
          <w:iCs/>
          <w:sz w:val="24"/>
          <w:szCs w:val="24"/>
          <w:lang w:val="en-US"/>
        </w:rPr>
        <w:t>Azarenkova</w:t>
      </w:r>
      <w:proofErr w:type="spellEnd"/>
      <w:r w:rsidRPr="000478B4">
        <w:rPr>
          <w:rFonts w:eastAsia="Calibri"/>
          <w:bCs/>
          <w:iCs/>
          <w:sz w:val="24"/>
          <w:szCs w:val="24"/>
          <w:lang w:val="en-US"/>
        </w:rPr>
        <w:t xml:space="preserve"> and O. </w:t>
      </w:r>
      <w:proofErr w:type="spellStart"/>
      <w:r w:rsidR="00C51660" w:rsidRPr="000478B4">
        <w:rPr>
          <w:rFonts w:eastAsia="Calibri"/>
          <w:bCs/>
          <w:iCs/>
          <w:sz w:val="24"/>
          <w:szCs w:val="24"/>
          <w:lang w:val="en-US"/>
        </w:rPr>
        <w:t>H</w:t>
      </w:r>
      <w:r w:rsidRPr="000478B4">
        <w:rPr>
          <w:rFonts w:eastAsia="Calibri"/>
          <w:bCs/>
          <w:iCs/>
          <w:sz w:val="24"/>
          <w:szCs w:val="24"/>
          <w:lang w:val="en-US"/>
        </w:rPr>
        <w:t>olovko</w:t>
      </w:r>
      <w:proofErr w:type="spellEnd"/>
      <w:r w:rsidRPr="000478B4">
        <w:rPr>
          <w:rFonts w:eastAsia="Calibri"/>
          <w:bCs/>
          <w:iCs/>
          <w:sz w:val="24"/>
          <w:szCs w:val="24"/>
          <w:lang w:val="en-US"/>
        </w:rPr>
        <w:t xml:space="preserve"> interpret it </w:t>
      </w:r>
      <w:r w:rsidR="00C51660" w:rsidRPr="000478B4">
        <w:rPr>
          <w:rFonts w:eastAsia="Calibri"/>
          <w:bCs/>
          <w:iCs/>
          <w:sz w:val="24"/>
          <w:szCs w:val="24"/>
          <w:lang w:val="en-US"/>
        </w:rPr>
        <w:t>as</w:t>
      </w:r>
      <w:r w:rsidRPr="000478B4">
        <w:rPr>
          <w:rFonts w:eastAsia="Calibri"/>
          <w:bCs/>
          <w:iCs/>
          <w:sz w:val="24"/>
          <w:szCs w:val="24"/>
          <w:lang w:val="en-US"/>
        </w:rPr>
        <w:t xml:space="preserve"> the ability of the banking institution to maintain equilibrium for a certain period of time in terms of individual areas of financial relations</w:t>
      </w:r>
      <w:r w:rsidR="00C51660" w:rsidRPr="000478B4">
        <w:rPr>
          <w:rFonts w:eastAsia="Calibri"/>
          <w:bCs/>
          <w:iCs/>
          <w:sz w:val="24"/>
          <w:szCs w:val="24"/>
          <w:lang w:val="en-US"/>
        </w:rPr>
        <w:t>;</w:t>
      </w:r>
      <w:r w:rsidRPr="000478B4">
        <w:rPr>
          <w:rFonts w:eastAsia="Calibri"/>
          <w:bCs/>
          <w:iCs/>
          <w:sz w:val="24"/>
          <w:szCs w:val="24"/>
          <w:lang w:val="en-US"/>
        </w:rPr>
        <w:t xml:space="preserve"> </w:t>
      </w:r>
      <w:r w:rsidR="00C51660" w:rsidRPr="000478B4">
        <w:rPr>
          <w:rFonts w:eastAsia="Calibri"/>
          <w:bCs/>
          <w:iCs/>
          <w:sz w:val="24"/>
          <w:szCs w:val="24"/>
          <w:lang w:val="en-US"/>
        </w:rPr>
        <w:t>it</w:t>
      </w:r>
      <w:r w:rsidRPr="000478B4">
        <w:rPr>
          <w:rFonts w:eastAsia="Calibri"/>
          <w:bCs/>
          <w:iCs/>
          <w:sz w:val="24"/>
          <w:szCs w:val="24"/>
          <w:lang w:val="en-US"/>
        </w:rPr>
        <w:t xml:space="preserve"> </w:t>
      </w:r>
      <w:r w:rsidR="00C51660" w:rsidRPr="000478B4">
        <w:rPr>
          <w:rFonts w:eastAsia="Calibri"/>
          <w:bCs/>
          <w:iCs/>
          <w:sz w:val="24"/>
          <w:szCs w:val="24"/>
          <w:lang w:val="en-US"/>
        </w:rPr>
        <w:t>can manifest itself through</w:t>
      </w:r>
      <w:r w:rsidRPr="000478B4">
        <w:rPr>
          <w:rFonts w:eastAsia="Calibri"/>
          <w:bCs/>
          <w:iCs/>
          <w:sz w:val="24"/>
          <w:szCs w:val="24"/>
          <w:lang w:val="en-US"/>
        </w:rPr>
        <w:t xml:space="preserve"> a permissible deviation from the trend line of the selected indicator over time</w:t>
      </w:r>
      <w:r w:rsidR="00C51660" w:rsidRPr="000478B4">
        <w:rPr>
          <w:rFonts w:eastAsia="Calibri"/>
          <w:bCs/>
          <w:iCs/>
          <w:sz w:val="24"/>
          <w:szCs w:val="24"/>
          <w:lang w:val="en-US"/>
        </w:rPr>
        <w:t xml:space="preserve"> [</w:t>
      </w:r>
      <w:r w:rsidR="00163AE9" w:rsidRPr="000478B4">
        <w:rPr>
          <w:rFonts w:eastAsia="Calibri"/>
          <w:bCs/>
          <w:iCs/>
          <w:sz w:val="24"/>
          <w:szCs w:val="24"/>
        </w:rPr>
        <w:t>7</w:t>
      </w:r>
      <w:r w:rsidR="00C51660" w:rsidRPr="000478B4">
        <w:rPr>
          <w:rFonts w:eastAsia="Calibri"/>
          <w:bCs/>
          <w:iCs/>
          <w:sz w:val="24"/>
          <w:szCs w:val="24"/>
          <w:lang w:val="en-US"/>
        </w:rPr>
        <w:t>]</w:t>
      </w:r>
      <w:r w:rsidRPr="000478B4">
        <w:rPr>
          <w:rFonts w:eastAsia="Calibri"/>
          <w:bCs/>
          <w:iCs/>
          <w:sz w:val="24"/>
          <w:szCs w:val="24"/>
          <w:lang w:val="en-US"/>
        </w:rPr>
        <w:t>.</w:t>
      </w:r>
    </w:p>
    <w:p w:rsidR="00572519" w:rsidRPr="000478B4" w:rsidRDefault="00572519" w:rsidP="000478B4">
      <w:pPr>
        <w:widowControl w:val="0"/>
        <w:ind w:firstLine="709"/>
        <w:rPr>
          <w:rFonts w:eastAsia="Calibri"/>
          <w:bCs/>
          <w:iCs/>
          <w:sz w:val="24"/>
          <w:szCs w:val="24"/>
          <w:lang w:val="en-US"/>
        </w:rPr>
      </w:pPr>
      <w:r w:rsidRPr="000478B4">
        <w:rPr>
          <w:rFonts w:eastAsia="Calibri"/>
          <w:bCs/>
          <w:iCs/>
          <w:sz w:val="24"/>
          <w:szCs w:val="24"/>
          <w:lang w:val="en-US"/>
        </w:rPr>
        <w:t xml:space="preserve">M. </w:t>
      </w:r>
      <w:proofErr w:type="spellStart"/>
      <w:r w:rsidRPr="000478B4">
        <w:rPr>
          <w:rFonts w:eastAsia="Calibri"/>
          <w:bCs/>
          <w:iCs/>
          <w:sz w:val="24"/>
          <w:szCs w:val="24"/>
          <w:lang w:val="en-US"/>
        </w:rPr>
        <w:t>Khutorna</w:t>
      </w:r>
      <w:proofErr w:type="spellEnd"/>
      <w:r w:rsidRPr="000478B4">
        <w:rPr>
          <w:rFonts w:eastAsia="Calibri"/>
          <w:bCs/>
          <w:iCs/>
          <w:sz w:val="24"/>
          <w:szCs w:val="24"/>
          <w:lang w:val="en-US"/>
        </w:rPr>
        <w:t xml:space="preserve"> notes that the financial stability of a credit institution</w:t>
      </w:r>
      <w:r w:rsidR="00B232BD" w:rsidRPr="000478B4">
        <w:rPr>
          <w:rFonts w:eastAsia="Calibri"/>
          <w:bCs/>
          <w:iCs/>
          <w:sz w:val="24"/>
          <w:szCs w:val="24"/>
          <w:lang w:val="en-US"/>
        </w:rPr>
        <w:t>, first of all,</w:t>
      </w:r>
      <w:r w:rsidRPr="000478B4">
        <w:rPr>
          <w:rFonts w:eastAsia="Calibri"/>
          <w:bCs/>
          <w:iCs/>
          <w:sz w:val="24"/>
          <w:szCs w:val="24"/>
          <w:lang w:val="en-US"/>
        </w:rPr>
        <w:t xml:space="preserve"> is ensuring proper coverage of actual and potential negative consequences of internal imbalances and preventing their transfer to the real economy, as well as maintaining long-term resistance to negative changes in the environment. Regarding the bank, the author </w:t>
      </w:r>
      <w:r w:rsidR="00B232BD" w:rsidRPr="000478B4">
        <w:rPr>
          <w:rFonts w:eastAsia="Calibri"/>
          <w:bCs/>
          <w:iCs/>
          <w:sz w:val="24"/>
          <w:szCs w:val="24"/>
          <w:lang w:val="en-US"/>
        </w:rPr>
        <w:t>claims</w:t>
      </w:r>
      <w:r w:rsidRPr="000478B4">
        <w:rPr>
          <w:rFonts w:eastAsia="Calibri"/>
          <w:bCs/>
          <w:iCs/>
          <w:sz w:val="24"/>
          <w:szCs w:val="24"/>
          <w:lang w:val="en-US"/>
        </w:rPr>
        <w:t xml:space="preserve"> that this is a continuum of states in which the bank retains its ability to operate smoothly and efficiently for </w:t>
      </w:r>
      <w:r w:rsidR="00B232BD" w:rsidRPr="000478B4">
        <w:rPr>
          <w:rFonts w:eastAsia="Calibri"/>
          <w:bCs/>
          <w:iCs/>
          <w:sz w:val="24"/>
          <w:szCs w:val="24"/>
          <w:lang w:val="en-US"/>
        </w:rPr>
        <w:t xml:space="preserve">future </w:t>
      </w:r>
      <w:r w:rsidRPr="000478B4">
        <w:rPr>
          <w:rFonts w:eastAsia="Calibri"/>
          <w:bCs/>
          <w:iCs/>
          <w:sz w:val="24"/>
          <w:szCs w:val="24"/>
          <w:lang w:val="en-US"/>
        </w:rPr>
        <w:t>development [</w:t>
      </w:r>
      <w:r w:rsidR="00163AE9" w:rsidRPr="000478B4">
        <w:rPr>
          <w:rFonts w:eastAsia="Calibri"/>
          <w:bCs/>
          <w:iCs/>
          <w:sz w:val="24"/>
          <w:szCs w:val="24"/>
        </w:rPr>
        <w:t>8</w:t>
      </w:r>
      <w:r w:rsidRPr="000478B4">
        <w:rPr>
          <w:rFonts w:eastAsia="Calibri"/>
          <w:bCs/>
          <w:iCs/>
          <w:sz w:val="24"/>
          <w:szCs w:val="24"/>
          <w:lang w:val="en-US"/>
        </w:rPr>
        <w:t>, p. 56, 69].</w:t>
      </w:r>
    </w:p>
    <w:p w:rsidR="00572519" w:rsidRPr="000478B4" w:rsidRDefault="00572519" w:rsidP="000478B4">
      <w:pPr>
        <w:widowControl w:val="0"/>
        <w:ind w:firstLine="709"/>
        <w:rPr>
          <w:rFonts w:eastAsia="Calibri"/>
          <w:bCs/>
          <w:iCs/>
          <w:sz w:val="24"/>
          <w:szCs w:val="24"/>
          <w:lang w:val="en-US"/>
        </w:rPr>
      </w:pPr>
      <w:r w:rsidRPr="000478B4">
        <w:rPr>
          <w:rFonts w:eastAsia="Calibri"/>
          <w:bCs/>
          <w:iCs/>
          <w:sz w:val="24"/>
          <w:szCs w:val="24"/>
          <w:lang w:val="en-US"/>
        </w:rPr>
        <w:t xml:space="preserve">Undoubted awareness of the basic need to ensure the financial stability of a modern bank should be integrated at all levels of its management, and the tools carefully selected and adapted to the specifics of the bank should be used in all its business processes. The main features of ensuring the optimal level of financial stability of the bank in a dynamic macro environment are: its ability to maintain long-term equilibrium as a result of resistance to internal and external threats; ensuring the continuity of activities in terms of performing the basic functions </w:t>
      </w:r>
      <w:r w:rsidR="00A26AA0" w:rsidRPr="000478B4">
        <w:rPr>
          <w:rFonts w:eastAsia="Calibri"/>
          <w:bCs/>
          <w:iCs/>
          <w:sz w:val="24"/>
          <w:szCs w:val="24"/>
          <w:lang w:val="en-US"/>
        </w:rPr>
        <w:t>as</w:t>
      </w:r>
      <w:r w:rsidRPr="000478B4">
        <w:rPr>
          <w:rFonts w:eastAsia="Calibri"/>
          <w:bCs/>
          <w:iCs/>
          <w:sz w:val="24"/>
          <w:szCs w:val="24"/>
          <w:lang w:val="en-US"/>
        </w:rPr>
        <w:t xml:space="preserve"> a financial intermediary; the ability to absorb the effects of the negative </w:t>
      </w:r>
      <w:r w:rsidR="00295053" w:rsidRPr="000478B4">
        <w:rPr>
          <w:rFonts w:eastAsia="Calibri"/>
          <w:bCs/>
          <w:iCs/>
          <w:sz w:val="24"/>
          <w:szCs w:val="24"/>
          <w:lang w:val="en-US"/>
        </w:rPr>
        <w:t>impacts</w:t>
      </w:r>
      <w:r w:rsidRPr="000478B4">
        <w:rPr>
          <w:rFonts w:eastAsia="Calibri"/>
          <w:bCs/>
          <w:iCs/>
          <w:sz w:val="24"/>
          <w:szCs w:val="24"/>
          <w:lang w:val="en-US"/>
        </w:rPr>
        <w:t xml:space="preserve"> of internal and external factors; ability to ensure sustainable targeted financial development of the bank, based on innovative principles.</w:t>
      </w:r>
    </w:p>
    <w:p w:rsidR="00295053" w:rsidRPr="000478B4" w:rsidRDefault="00295053" w:rsidP="000478B4">
      <w:pPr>
        <w:widowControl w:val="0"/>
        <w:ind w:firstLine="709"/>
        <w:rPr>
          <w:rFonts w:eastAsia="Calibri"/>
          <w:bCs/>
          <w:iCs/>
          <w:sz w:val="24"/>
          <w:szCs w:val="24"/>
          <w:lang w:val="en-US"/>
        </w:rPr>
      </w:pPr>
      <w:r w:rsidRPr="000478B4">
        <w:rPr>
          <w:rFonts w:eastAsia="Calibri"/>
          <w:bCs/>
          <w:iCs/>
          <w:sz w:val="24"/>
          <w:szCs w:val="24"/>
          <w:lang w:val="en-US"/>
        </w:rPr>
        <w:t>Therefore, we can talk about the need to clarify the concept of financial stability of the bank, formed under the influence of modern operational, functional, institutional, technological features of its performance [</w:t>
      </w:r>
      <w:r w:rsidR="00163AE9" w:rsidRPr="000478B4">
        <w:rPr>
          <w:rFonts w:eastAsia="Calibri"/>
          <w:bCs/>
          <w:iCs/>
          <w:sz w:val="24"/>
          <w:szCs w:val="24"/>
        </w:rPr>
        <w:t>9</w:t>
      </w:r>
      <w:r w:rsidRPr="000478B4">
        <w:rPr>
          <w:rFonts w:eastAsia="Calibri"/>
          <w:bCs/>
          <w:iCs/>
          <w:sz w:val="24"/>
          <w:szCs w:val="24"/>
          <w:lang w:val="en-US"/>
        </w:rPr>
        <w:t>]. In our opinion, it should be understood as the ability to:</w:t>
      </w:r>
    </w:p>
    <w:p w:rsidR="00295053" w:rsidRPr="000478B4" w:rsidRDefault="00295053" w:rsidP="000478B4">
      <w:pPr>
        <w:widowControl w:val="0"/>
        <w:ind w:firstLine="709"/>
        <w:rPr>
          <w:rFonts w:eastAsia="Calibri"/>
          <w:bCs/>
          <w:iCs/>
          <w:sz w:val="24"/>
          <w:szCs w:val="24"/>
          <w:lang w:val="en-US"/>
        </w:rPr>
      </w:pPr>
      <w:r w:rsidRPr="000478B4">
        <w:rPr>
          <w:rFonts w:eastAsia="Calibri"/>
          <w:bCs/>
          <w:iCs/>
          <w:sz w:val="24"/>
          <w:szCs w:val="24"/>
          <w:lang w:val="en-US"/>
        </w:rPr>
        <w:t>- ensure equilibrium in the long run by counteracting / adapting / absorbing internal and external shocks based on the use of a proactive approach to identifying and managing threats to the functioning of the bank over time;</w:t>
      </w:r>
    </w:p>
    <w:p w:rsidR="00295053" w:rsidRPr="000478B4" w:rsidRDefault="00295053" w:rsidP="000478B4">
      <w:pPr>
        <w:widowControl w:val="0"/>
        <w:ind w:firstLine="709"/>
        <w:rPr>
          <w:rFonts w:eastAsia="Calibri"/>
          <w:bCs/>
          <w:iCs/>
          <w:sz w:val="24"/>
          <w:szCs w:val="24"/>
          <w:lang w:val="en-US"/>
        </w:rPr>
      </w:pPr>
      <w:r w:rsidRPr="000478B4">
        <w:rPr>
          <w:rFonts w:eastAsia="Calibri"/>
          <w:bCs/>
          <w:iCs/>
          <w:sz w:val="24"/>
          <w:szCs w:val="24"/>
          <w:lang w:val="en-US"/>
        </w:rPr>
        <w:t>- maintain the continuity, efficiency and financial effectiveness of operation;</w:t>
      </w:r>
    </w:p>
    <w:p w:rsidR="00295053" w:rsidRPr="000478B4" w:rsidRDefault="00295053" w:rsidP="000478B4">
      <w:pPr>
        <w:widowControl w:val="0"/>
        <w:ind w:firstLine="709"/>
        <w:rPr>
          <w:rFonts w:eastAsia="Calibri"/>
          <w:bCs/>
          <w:iCs/>
          <w:sz w:val="24"/>
          <w:szCs w:val="24"/>
          <w:lang w:val="en-US"/>
        </w:rPr>
      </w:pPr>
      <w:r w:rsidRPr="000478B4">
        <w:rPr>
          <w:rFonts w:eastAsia="Calibri"/>
          <w:bCs/>
          <w:iCs/>
          <w:sz w:val="24"/>
          <w:szCs w:val="24"/>
          <w:lang w:val="en-US"/>
        </w:rPr>
        <w:t>- ensure sustainable targeted financial development through early adaptation to the objective transformations of the economic environment by comprehensive integration of risk-oriented approach and the use of the newest methods to manage the bank in terms of all its business processes.</w:t>
      </w:r>
    </w:p>
    <w:p w:rsidR="008551A8" w:rsidRPr="000478B4" w:rsidRDefault="008551A8" w:rsidP="000478B4">
      <w:pPr>
        <w:ind w:firstLine="709"/>
        <w:contextualSpacing/>
        <w:rPr>
          <w:rFonts w:eastAsia="Calibri"/>
          <w:sz w:val="24"/>
          <w:szCs w:val="24"/>
          <w:lang w:val="en-US"/>
        </w:rPr>
      </w:pPr>
      <w:r w:rsidRPr="000478B4">
        <w:rPr>
          <w:rFonts w:eastAsia="Calibri"/>
          <w:sz w:val="24"/>
          <w:szCs w:val="24"/>
          <w:lang w:val="en-US"/>
        </w:rPr>
        <w:t>In the context of monitoring the financial stability of the Ukrainian banks, it is necessary, first of all, to analyze the dynamics of the main indicators of their activities’ scale (Figure 1).</w:t>
      </w:r>
    </w:p>
    <w:p w:rsidR="000F6AF1" w:rsidRPr="000478B4" w:rsidRDefault="000F6AF1" w:rsidP="000478B4">
      <w:pPr>
        <w:contextualSpacing/>
        <w:jc w:val="center"/>
        <w:rPr>
          <w:rFonts w:eastAsia="Calibri"/>
          <w:sz w:val="24"/>
          <w:szCs w:val="24"/>
          <w:lang w:val="en-US"/>
        </w:rPr>
      </w:pPr>
      <w:r w:rsidRPr="000478B4">
        <w:rPr>
          <w:rFonts w:ascii="Calibri" w:eastAsia="Calibri" w:hAnsi="Calibri"/>
          <w:noProof/>
          <w:sz w:val="24"/>
          <w:szCs w:val="24"/>
          <w:lang w:val="ru-RU" w:eastAsia="ru-RU"/>
        </w:rPr>
        <w:lastRenderedPageBreak/>
        <w:drawing>
          <wp:inline distT="0" distB="0" distL="0" distR="0" wp14:anchorId="53D47D29" wp14:editId="19D27B84">
            <wp:extent cx="5383987" cy="2735884"/>
            <wp:effectExtent l="0" t="0" r="7620" b="7620"/>
            <wp:docPr id="9" name="Диаграмма 32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478B4" w:rsidRDefault="000478B4" w:rsidP="000478B4">
      <w:pPr>
        <w:contextualSpacing/>
        <w:jc w:val="center"/>
        <w:rPr>
          <w:rFonts w:eastAsia="Calibri"/>
          <w:b/>
          <w:sz w:val="24"/>
          <w:szCs w:val="24"/>
          <w:lang w:val="en-US"/>
        </w:rPr>
      </w:pPr>
    </w:p>
    <w:p w:rsidR="000F6AF1" w:rsidRPr="000478B4" w:rsidRDefault="008551A8" w:rsidP="000478B4">
      <w:pPr>
        <w:contextualSpacing/>
        <w:jc w:val="center"/>
        <w:rPr>
          <w:rFonts w:eastAsia="Calibri"/>
          <w:b/>
          <w:sz w:val="24"/>
          <w:szCs w:val="24"/>
          <w:lang w:val="en-US"/>
        </w:rPr>
      </w:pPr>
      <w:proofErr w:type="gramStart"/>
      <w:r w:rsidRPr="000478B4">
        <w:rPr>
          <w:rFonts w:eastAsia="Calibri"/>
          <w:b/>
          <w:sz w:val="24"/>
          <w:szCs w:val="24"/>
          <w:lang w:val="en-US"/>
        </w:rPr>
        <w:t>Fig</w:t>
      </w:r>
      <w:r w:rsidR="000478B4">
        <w:rPr>
          <w:rFonts w:eastAsia="Calibri"/>
          <w:b/>
          <w:sz w:val="24"/>
          <w:szCs w:val="24"/>
          <w:lang w:val="en-US"/>
        </w:rPr>
        <w:t>.</w:t>
      </w:r>
      <w:r w:rsidR="000F6AF1" w:rsidRPr="000478B4">
        <w:rPr>
          <w:rFonts w:eastAsia="Calibri"/>
          <w:b/>
          <w:sz w:val="24"/>
          <w:szCs w:val="24"/>
          <w:lang w:val="en-US"/>
        </w:rPr>
        <w:t xml:space="preserve"> </w:t>
      </w:r>
      <w:r w:rsidR="00975E75" w:rsidRPr="000478B4">
        <w:rPr>
          <w:rFonts w:eastAsia="Calibri"/>
          <w:b/>
          <w:sz w:val="24"/>
          <w:szCs w:val="24"/>
          <w:lang w:val="en-US"/>
        </w:rPr>
        <w:t>1</w:t>
      </w:r>
      <w:r w:rsidR="000F6AF1" w:rsidRPr="000478B4">
        <w:rPr>
          <w:rFonts w:eastAsia="Calibri"/>
          <w:b/>
          <w:sz w:val="24"/>
          <w:szCs w:val="24"/>
          <w:lang w:val="en-US"/>
        </w:rPr>
        <w:t>.</w:t>
      </w:r>
      <w:proofErr w:type="gramEnd"/>
      <w:r w:rsidR="000F6AF1" w:rsidRPr="000478B4">
        <w:rPr>
          <w:rFonts w:eastAsia="Calibri"/>
          <w:b/>
          <w:sz w:val="24"/>
          <w:szCs w:val="24"/>
          <w:lang w:val="en-US"/>
        </w:rPr>
        <w:t xml:space="preserve"> </w:t>
      </w:r>
      <w:r w:rsidRPr="000478B4">
        <w:rPr>
          <w:rFonts w:eastAsia="Calibri"/>
          <w:b/>
          <w:sz w:val="24"/>
          <w:szCs w:val="24"/>
          <w:lang w:val="en-US"/>
        </w:rPr>
        <w:t>Dynamics of the main indicators of the Ukrainian banks</w:t>
      </w:r>
    </w:p>
    <w:p w:rsidR="000F6AF1" w:rsidRPr="000478B4" w:rsidRDefault="00BB588C" w:rsidP="000478B4">
      <w:pPr>
        <w:ind w:firstLine="709"/>
        <w:contextualSpacing/>
        <w:rPr>
          <w:rFonts w:eastAsia="Calibri"/>
          <w:i/>
          <w:sz w:val="20"/>
          <w:szCs w:val="20"/>
        </w:rPr>
      </w:pPr>
      <w:r w:rsidRPr="000478B4">
        <w:rPr>
          <w:rFonts w:eastAsia="Calibri"/>
          <w:i/>
          <w:sz w:val="20"/>
          <w:szCs w:val="20"/>
          <w:lang w:val="en-US"/>
        </w:rPr>
        <w:t>*Complied according to the National Bank of Ukraine</w:t>
      </w:r>
      <w:r w:rsidRPr="000478B4">
        <w:rPr>
          <w:rFonts w:eastAsia="Calibri"/>
          <w:sz w:val="20"/>
          <w:szCs w:val="20"/>
          <w:lang w:val="en-US"/>
        </w:rPr>
        <w:t xml:space="preserve"> </w:t>
      </w:r>
      <w:r w:rsidR="000F6AF1" w:rsidRPr="000478B4">
        <w:rPr>
          <w:rFonts w:eastAsia="Calibri"/>
          <w:i/>
          <w:sz w:val="20"/>
          <w:szCs w:val="20"/>
          <w:lang w:val="en-US"/>
        </w:rPr>
        <w:t>[</w:t>
      </w:r>
      <w:r w:rsidR="00163AE9" w:rsidRPr="000478B4">
        <w:rPr>
          <w:rFonts w:eastAsia="Calibri"/>
          <w:i/>
          <w:sz w:val="20"/>
          <w:szCs w:val="20"/>
        </w:rPr>
        <w:t>10</w:t>
      </w:r>
      <w:r w:rsidR="000F6AF1" w:rsidRPr="000478B4">
        <w:rPr>
          <w:rFonts w:eastAsia="Calibri"/>
          <w:i/>
          <w:sz w:val="20"/>
          <w:szCs w:val="20"/>
          <w:lang w:val="en-US"/>
        </w:rPr>
        <w:t>].</w:t>
      </w:r>
    </w:p>
    <w:p w:rsidR="00627C55" w:rsidRPr="000478B4" w:rsidRDefault="00627C55" w:rsidP="000478B4">
      <w:pPr>
        <w:ind w:firstLine="709"/>
        <w:contextualSpacing/>
        <w:rPr>
          <w:rFonts w:eastAsia="Calibri"/>
          <w:sz w:val="24"/>
          <w:szCs w:val="24"/>
        </w:rPr>
      </w:pPr>
    </w:p>
    <w:p w:rsidR="004D48DE" w:rsidRPr="000478B4" w:rsidRDefault="004D48DE" w:rsidP="000478B4">
      <w:pPr>
        <w:ind w:firstLine="709"/>
        <w:contextualSpacing/>
        <w:rPr>
          <w:rFonts w:eastAsia="Calibri"/>
          <w:sz w:val="24"/>
          <w:szCs w:val="24"/>
          <w:lang w:val="en-US"/>
        </w:rPr>
      </w:pPr>
      <w:r w:rsidRPr="000478B4">
        <w:rPr>
          <w:rFonts w:eastAsia="Calibri"/>
          <w:sz w:val="24"/>
          <w:szCs w:val="24"/>
          <w:lang w:val="en-US"/>
        </w:rPr>
        <w:t>The data in Figure 1 show that the number of banking institutions in Ukraine has continued to decrease over the last five years. “Cleaning of the banking sector”, according to the</w:t>
      </w:r>
      <w:r w:rsidR="00B75373" w:rsidRPr="000478B4">
        <w:rPr>
          <w:rFonts w:eastAsia="Calibri"/>
          <w:sz w:val="24"/>
          <w:szCs w:val="24"/>
          <w:lang w:val="en-US"/>
        </w:rPr>
        <w:t xml:space="preserve"> National</w:t>
      </w:r>
      <w:r w:rsidRPr="000478B4">
        <w:rPr>
          <w:rFonts w:eastAsia="Calibri"/>
          <w:sz w:val="24"/>
          <w:szCs w:val="24"/>
          <w:lang w:val="en-US"/>
        </w:rPr>
        <w:t xml:space="preserve"> </w:t>
      </w:r>
      <w:r w:rsidR="00B75373" w:rsidRPr="000478B4">
        <w:rPr>
          <w:rFonts w:eastAsia="Calibri"/>
          <w:sz w:val="24"/>
          <w:szCs w:val="24"/>
          <w:lang w:val="en-US"/>
        </w:rPr>
        <w:t>Bank of Ukraine (</w:t>
      </w:r>
      <w:r w:rsidRPr="000478B4">
        <w:rPr>
          <w:rFonts w:eastAsia="Calibri"/>
          <w:sz w:val="24"/>
          <w:szCs w:val="24"/>
          <w:lang w:val="en-US"/>
        </w:rPr>
        <w:t>NBU</w:t>
      </w:r>
      <w:r w:rsidR="00B75373" w:rsidRPr="000478B4">
        <w:rPr>
          <w:rFonts w:eastAsia="Calibri"/>
          <w:sz w:val="24"/>
          <w:szCs w:val="24"/>
          <w:lang w:val="en-US"/>
        </w:rPr>
        <w:t>),</w:t>
      </w:r>
      <w:r w:rsidRPr="000478B4">
        <w:rPr>
          <w:rFonts w:eastAsia="Calibri"/>
          <w:sz w:val="24"/>
          <w:szCs w:val="24"/>
          <w:lang w:val="en-US"/>
        </w:rPr>
        <w:t xml:space="preserve"> </w:t>
      </w:r>
      <w:r w:rsidR="00B75373" w:rsidRPr="000478B4">
        <w:rPr>
          <w:rFonts w:eastAsia="Calibri"/>
          <w:sz w:val="24"/>
          <w:szCs w:val="24"/>
          <w:lang w:val="en-US"/>
        </w:rPr>
        <w:t>started as far as</w:t>
      </w:r>
      <w:r w:rsidRPr="000478B4">
        <w:rPr>
          <w:rFonts w:eastAsia="Calibri"/>
          <w:sz w:val="24"/>
          <w:szCs w:val="24"/>
          <w:lang w:val="en-US"/>
        </w:rPr>
        <w:t xml:space="preserve"> in 2014-2015. Thus, as of 01.01.2014, there were 180 banks in Ukraine, and at the beginning of 2020 </w:t>
      </w:r>
      <w:r w:rsidR="00B75373" w:rsidRPr="000478B4">
        <w:rPr>
          <w:rFonts w:eastAsia="Calibri"/>
          <w:sz w:val="24"/>
          <w:szCs w:val="24"/>
          <w:lang w:val="en-US"/>
        </w:rPr>
        <w:t xml:space="preserve">there were </w:t>
      </w:r>
      <w:r w:rsidRPr="000478B4">
        <w:rPr>
          <w:rFonts w:eastAsia="Calibri"/>
          <w:sz w:val="24"/>
          <w:szCs w:val="24"/>
          <w:lang w:val="en-US"/>
        </w:rPr>
        <w:t>75 banks, i</w:t>
      </w:r>
      <w:r w:rsidR="00B75373" w:rsidRPr="000478B4">
        <w:rPr>
          <w:rFonts w:eastAsia="Calibri"/>
          <w:sz w:val="24"/>
          <w:szCs w:val="24"/>
          <w:lang w:val="en-US"/>
        </w:rPr>
        <w:t>.</w:t>
      </w:r>
      <w:r w:rsidRPr="000478B4">
        <w:rPr>
          <w:rFonts w:eastAsia="Calibri"/>
          <w:sz w:val="24"/>
          <w:szCs w:val="24"/>
          <w:lang w:val="en-US"/>
        </w:rPr>
        <w:t>e</w:t>
      </w:r>
      <w:r w:rsidR="00B75373" w:rsidRPr="000478B4">
        <w:rPr>
          <w:rFonts w:eastAsia="Calibri"/>
          <w:sz w:val="24"/>
          <w:szCs w:val="24"/>
          <w:lang w:val="en-US"/>
        </w:rPr>
        <w:t>.</w:t>
      </w:r>
      <w:r w:rsidRPr="000478B4">
        <w:rPr>
          <w:rFonts w:eastAsia="Calibri"/>
          <w:sz w:val="24"/>
          <w:szCs w:val="24"/>
          <w:lang w:val="en-US"/>
        </w:rPr>
        <w:t xml:space="preserve"> </w:t>
      </w:r>
      <w:r w:rsidR="00B75373" w:rsidRPr="000478B4">
        <w:rPr>
          <w:rFonts w:eastAsia="Calibri"/>
          <w:sz w:val="24"/>
          <w:szCs w:val="24"/>
          <w:lang w:val="en-US"/>
        </w:rPr>
        <w:t>105 banks were</w:t>
      </w:r>
      <w:r w:rsidRPr="000478B4">
        <w:rPr>
          <w:rFonts w:eastAsia="Calibri"/>
          <w:sz w:val="24"/>
          <w:szCs w:val="24"/>
          <w:lang w:val="en-US"/>
        </w:rPr>
        <w:t xml:space="preserve"> withdrawn from the market</w:t>
      </w:r>
      <w:r w:rsidR="00B75373" w:rsidRPr="000478B4">
        <w:rPr>
          <w:rFonts w:eastAsia="Calibri"/>
          <w:sz w:val="24"/>
          <w:szCs w:val="24"/>
          <w:lang w:val="en-US"/>
        </w:rPr>
        <w:t xml:space="preserve"> in six years</w:t>
      </w:r>
      <w:r w:rsidRPr="000478B4">
        <w:rPr>
          <w:rFonts w:eastAsia="Calibri"/>
          <w:sz w:val="24"/>
          <w:szCs w:val="24"/>
          <w:lang w:val="en-US"/>
        </w:rPr>
        <w:t xml:space="preserve">. However, it is important to note that the reduction in the number of banking institutions did not significantly affect the </w:t>
      </w:r>
      <w:r w:rsidR="00B75373" w:rsidRPr="000478B4">
        <w:rPr>
          <w:rFonts w:eastAsia="Calibri"/>
          <w:sz w:val="24"/>
          <w:szCs w:val="24"/>
          <w:lang w:val="en-US"/>
        </w:rPr>
        <w:t>amounts</w:t>
      </w:r>
      <w:r w:rsidRPr="000478B4">
        <w:rPr>
          <w:rFonts w:eastAsia="Calibri"/>
          <w:sz w:val="24"/>
          <w:szCs w:val="24"/>
          <w:lang w:val="en-US"/>
        </w:rPr>
        <w:t xml:space="preserve"> of </w:t>
      </w:r>
      <w:r w:rsidR="00B75373" w:rsidRPr="000478B4">
        <w:rPr>
          <w:rFonts w:eastAsia="Calibri"/>
          <w:sz w:val="24"/>
          <w:szCs w:val="24"/>
          <w:lang w:val="en-US"/>
        </w:rPr>
        <w:t xml:space="preserve">banking </w:t>
      </w:r>
      <w:r w:rsidRPr="000478B4">
        <w:rPr>
          <w:rFonts w:eastAsia="Calibri"/>
          <w:sz w:val="24"/>
          <w:szCs w:val="24"/>
          <w:lang w:val="en-US"/>
        </w:rPr>
        <w:t xml:space="preserve">capital, </w:t>
      </w:r>
      <w:r w:rsidR="00B75373" w:rsidRPr="000478B4">
        <w:rPr>
          <w:rFonts w:eastAsia="Calibri"/>
          <w:sz w:val="24"/>
          <w:szCs w:val="24"/>
          <w:lang w:val="en-US"/>
        </w:rPr>
        <w:t xml:space="preserve">assets and </w:t>
      </w:r>
      <w:r w:rsidRPr="000478B4">
        <w:rPr>
          <w:rFonts w:eastAsia="Calibri"/>
          <w:sz w:val="24"/>
          <w:szCs w:val="24"/>
          <w:lang w:val="en-US"/>
        </w:rPr>
        <w:t>liabilities. During the analysis period, the number of banks decreased by 42, but</w:t>
      </w:r>
      <w:r w:rsidR="00B75373" w:rsidRPr="000478B4">
        <w:rPr>
          <w:rFonts w:eastAsia="Calibri"/>
          <w:sz w:val="24"/>
          <w:szCs w:val="24"/>
          <w:lang w:val="en-US"/>
        </w:rPr>
        <w:t xml:space="preserve"> the</w:t>
      </w:r>
      <w:r w:rsidRPr="000478B4">
        <w:rPr>
          <w:rFonts w:eastAsia="Calibri"/>
          <w:sz w:val="24"/>
          <w:szCs w:val="24"/>
          <w:lang w:val="en-US"/>
        </w:rPr>
        <w:t xml:space="preserve"> assets, </w:t>
      </w:r>
      <w:r w:rsidR="00B75373" w:rsidRPr="000478B4">
        <w:rPr>
          <w:rFonts w:eastAsia="Calibri"/>
          <w:sz w:val="24"/>
          <w:szCs w:val="24"/>
          <w:lang w:val="en-US"/>
        </w:rPr>
        <w:t xml:space="preserve">the </w:t>
      </w:r>
      <w:r w:rsidRPr="000478B4">
        <w:rPr>
          <w:rFonts w:eastAsia="Calibri"/>
          <w:sz w:val="24"/>
          <w:szCs w:val="24"/>
          <w:lang w:val="en-US"/>
        </w:rPr>
        <w:t xml:space="preserve">liabilities and </w:t>
      </w:r>
      <w:r w:rsidR="00B75373" w:rsidRPr="000478B4">
        <w:rPr>
          <w:rFonts w:eastAsia="Calibri"/>
          <w:sz w:val="24"/>
          <w:szCs w:val="24"/>
          <w:lang w:val="en-US"/>
        </w:rPr>
        <w:t xml:space="preserve">the </w:t>
      </w:r>
      <w:r w:rsidRPr="000478B4">
        <w:rPr>
          <w:rFonts w:eastAsia="Calibri"/>
          <w:sz w:val="24"/>
          <w:szCs w:val="24"/>
          <w:lang w:val="en-US"/>
        </w:rPr>
        <w:t xml:space="preserve">capital increased by UAH 239.0 billion, UAH 142.7 billion, UAH 96.2 billion, respectively. </w:t>
      </w:r>
      <w:r w:rsidR="00B75373" w:rsidRPr="000478B4">
        <w:rPr>
          <w:rFonts w:eastAsia="Calibri"/>
          <w:sz w:val="24"/>
          <w:szCs w:val="24"/>
          <w:lang w:val="en-US"/>
        </w:rPr>
        <w:t>So</w:t>
      </w:r>
      <w:r w:rsidRPr="000478B4">
        <w:rPr>
          <w:rFonts w:eastAsia="Calibri"/>
          <w:sz w:val="24"/>
          <w:szCs w:val="24"/>
          <w:lang w:val="en-US"/>
        </w:rPr>
        <w:t xml:space="preserve">, the banking sector, despite the quantitative reduction, </w:t>
      </w:r>
      <w:r w:rsidR="009D3490" w:rsidRPr="000478B4">
        <w:rPr>
          <w:rFonts w:eastAsia="Calibri"/>
          <w:sz w:val="24"/>
          <w:szCs w:val="24"/>
          <w:lang w:val="en-US"/>
        </w:rPr>
        <w:t xml:space="preserve">improved </w:t>
      </w:r>
      <w:r w:rsidRPr="000478B4">
        <w:rPr>
          <w:rFonts w:eastAsia="Calibri"/>
          <w:sz w:val="24"/>
          <w:szCs w:val="24"/>
          <w:lang w:val="en-US"/>
        </w:rPr>
        <w:t xml:space="preserve">its performance including due to the need to meet the requirements of the </w:t>
      </w:r>
      <w:r w:rsidR="00A26AA0" w:rsidRPr="000478B4">
        <w:rPr>
          <w:rFonts w:eastAsia="Calibri"/>
          <w:sz w:val="24"/>
          <w:szCs w:val="24"/>
          <w:lang w:val="en-US"/>
        </w:rPr>
        <w:t>NBU</w:t>
      </w:r>
      <w:r w:rsidRPr="000478B4">
        <w:rPr>
          <w:rFonts w:eastAsia="Calibri"/>
          <w:sz w:val="24"/>
          <w:szCs w:val="24"/>
          <w:lang w:val="en-US"/>
        </w:rPr>
        <w:t xml:space="preserve"> to increase the minimum amount of regulatory </w:t>
      </w:r>
      <w:r w:rsidR="00B75373" w:rsidRPr="000478B4">
        <w:rPr>
          <w:rFonts w:eastAsia="Calibri"/>
          <w:sz w:val="24"/>
          <w:szCs w:val="24"/>
          <w:lang w:val="en-US"/>
        </w:rPr>
        <w:t>capital that,</w:t>
      </w:r>
      <w:r w:rsidRPr="000478B4">
        <w:rPr>
          <w:rFonts w:eastAsia="Calibri"/>
          <w:sz w:val="24"/>
          <w:szCs w:val="24"/>
          <w:lang w:val="en-US"/>
        </w:rPr>
        <w:t xml:space="preserve"> of course, affected its financial stability.</w:t>
      </w:r>
    </w:p>
    <w:p w:rsidR="000F6AF1" w:rsidRPr="000478B4" w:rsidRDefault="009D3490" w:rsidP="000478B4">
      <w:pPr>
        <w:ind w:firstLine="709"/>
        <w:contextualSpacing/>
        <w:rPr>
          <w:rFonts w:eastAsia="Calibri"/>
          <w:sz w:val="24"/>
          <w:szCs w:val="24"/>
          <w:lang w:val="en-US"/>
        </w:rPr>
      </w:pPr>
      <w:r w:rsidRPr="000478B4">
        <w:rPr>
          <w:rFonts w:eastAsia="Calibri"/>
          <w:sz w:val="24"/>
          <w:szCs w:val="24"/>
          <w:lang w:val="en-US"/>
        </w:rPr>
        <w:t>T</w:t>
      </w:r>
      <w:r w:rsidR="004D48DE" w:rsidRPr="000478B4">
        <w:rPr>
          <w:rFonts w:eastAsia="Calibri"/>
          <w:sz w:val="24"/>
          <w:szCs w:val="24"/>
          <w:lang w:val="en-US"/>
        </w:rPr>
        <w:t>he dynamics of the Bank Z-score indicator for Ukraine, which is calculated by the World Bank [</w:t>
      </w:r>
      <w:r w:rsidR="00295053" w:rsidRPr="000478B4">
        <w:rPr>
          <w:rFonts w:eastAsia="Calibri"/>
          <w:sz w:val="24"/>
          <w:szCs w:val="24"/>
        </w:rPr>
        <w:t>1</w:t>
      </w:r>
      <w:r w:rsidR="00163AE9" w:rsidRPr="000478B4">
        <w:rPr>
          <w:rFonts w:eastAsia="Calibri"/>
          <w:sz w:val="24"/>
          <w:szCs w:val="24"/>
        </w:rPr>
        <w:t>1</w:t>
      </w:r>
      <w:r w:rsidR="004D48DE" w:rsidRPr="000478B4">
        <w:rPr>
          <w:rFonts w:eastAsia="Calibri"/>
          <w:sz w:val="24"/>
          <w:szCs w:val="24"/>
          <w:lang w:val="en-US"/>
        </w:rPr>
        <w:t>]</w:t>
      </w:r>
      <w:r w:rsidRPr="000478B4">
        <w:rPr>
          <w:rFonts w:eastAsia="Calibri"/>
          <w:sz w:val="24"/>
          <w:szCs w:val="24"/>
          <w:lang w:val="en-US"/>
        </w:rPr>
        <w:t>, can be a certain confirmation for this conclusion.</w:t>
      </w:r>
      <w:r w:rsidR="004D48DE" w:rsidRPr="000478B4">
        <w:rPr>
          <w:rFonts w:eastAsia="Calibri"/>
          <w:sz w:val="24"/>
          <w:szCs w:val="24"/>
          <w:lang w:val="en-US"/>
        </w:rPr>
        <w:t xml:space="preserve"> </w:t>
      </w:r>
      <w:r w:rsidRPr="000478B4">
        <w:rPr>
          <w:rFonts w:eastAsia="Calibri"/>
          <w:sz w:val="24"/>
          <w:szCs w:val="24"/>
          <w:lang w:val="en-US"/>
        </w:rPr>
        <w:t xml:space="preserve">Z-score </w:t>
      </w:r>
      <w:r w:rsidR="004D48DE" w:rsidRPr="000478B4">
        <w:rPr>
          <w:rFonts w:eastAsia="Calibri"/>
          <w:sz w:val="24"/>
          <w:szCs w:val="24"/>
          <w:lang w:val="en-US"/>
        </w:rPr>
        <w:t xml:space="preserve">compares the stability buffer of the banking </w:t>
      </w:r>
      <w:r w:rsidR="00A26AA0" w:rsidRPr="000478B4">
        <w:rPr>
          <w:rFonts w:eastAsia="Calibri"/>
          <w:sz w:val="24"/>
          <w:szCs w:val="24"/>
          <w:lang w:val="en-US"/>
        </w:rPr>
        <w:t>sector</w:t>
      </w:r>
      <w:r w:rsidR="004D48DE" w:rsidRPr="000478B4">
        <w:rPr>
          <w:rFonts w:eastAsia="Calibri"/>
          <w:sz w:val="24"/>
          <w:szCs w:val="24"/>
          <w:lang w:val="en-US"/>
        </w:rPr>
        <w:t xml:space="preserve"> </w:t>
      </w:r>
      <w:r w:rsidRPr="000478B4">
        <w:rPr>
          <w:rFonts w:eastAsia="Calibri"/>
          <w:sz w:val="24"/>
          <w:szCs w:val="24"/>
          <w:lang w:val="en-US"/>
        </w:rPr>
        <w:t>–</w:t>
      </w:r>
      <w:r w:rsidR="004D48DE" w:rsidRPr="000478B4">
        <w:rPr>
          <w:rFonts w:eastAsia="Calibri"/>
          <w:sz w:val="24"/>
          <w:szCs w:val="24"/>
          <w:lang w:val="en-US"/>
        </w:rPr>
        <w:t xml:space="preserve"> capitalization and profitability </w:t>
      </w:r>
      <w:r w:rsidRPr="000478B4">
        <w:rPr>
          <w:rFonts w:eastAsia="Calibri"/>
          <w:sz w:val="24"/>
          <w:szCs w:val="24"/>
          <w:lang w:val="en-US"/>
        </w:rPr>
        <w:t>–</w:t>
      </w:r>
      <w:r w:rsidR="004D48DE" w:rsidRPr="000478B4">
        <w:rPr>
          <w:rFonts w:eastAsia="Calibri"/>
          <w:sz w:val="24"/>
          <w:szCs w:val="24"/>
          <w:lang w:val="en-US"/>
        </w:rPr>
        <w:t xml:space="preserve"> with the volatility of these indicators. </w:t>
      </w:r>
      <w:r w:rsidRPr="000478B4">
        <w:rPr>
          <w:rFonts w:eastAsia="Calibri"/>
          <w:sz w:val="24"/>
          <w:szCs w:val="24"/>
          <w:lang w:val="en-US"/>
        </w:rPr>
        <w:t>It</w:t>
      </w:r>
      <w:r w:rsidR="004D48DE" w:rsidRPr="000478B4">
        <w:rPr>
          <w:rFonts w:eastAsia="Calibri"/>
          <w:sz w:val="24"/>
          <w:szCs w:val="24"/>
          <w:lang w:val="en-US"/>
        </w:rPr>
        <w:t xml:space="preserve"> reflects the probability of default of the banking system and </w:t>
      </w:r>
      <w:r w:rsidRPr="000478B4">
        <w:rPr>
          <w:rFonts w:eastAsia="Calibri"/>
          <w:sz w:val="24"/>
          <w:szCs w:val="24"/>
          <w:lang w:val="en-US"/>
        </w:rPr>
        <w:t>allows</w:t>
      </w:r>
      <w:r w:rsidR="004D48DE" w:rsidRPr="000478B4">
        <w:rPr>
          <w:rFonts w:eastAsia="Calibri"/>
          <w:sz w:val="24"/>
          <w:szCs w:val="24"/>
          <w:lang w:val="en-US"/>
        </w:rPr>
        <w:t xml:space="preserve"> </w:t>
      </w:r>
      <w:r w:rsidRPr="000478B4">
        <w:rPr>
          <w:rFonts w:eastAsia="Calibri"/>
          <w:sz w:val="24"/>
          <w:szCs w:val="24"/>
          <w:lang w:val="en-US"/>
        </w:rPr>
        <w:t>comparing</w:t>
      </w:r>
      <w:r w:rsidR="004D48DE" w:rsidRPr="000478B4">
        <w:rPr>
          <w:rFonts w:eastAsia="Calibri"/>
          <w:sz w:val="24"/>
          <w:szCs w:val="24"/>
          <w:lang w:val="en-US"/>
        </w:rPr>
        <w:t xml:space="preserve"> the situation in different countries. The</w:t>
      </w:r>
      <w:r w:rsidRPr="000478B4">
        <w:rPr>
          <w:rFonts w:eastAsia="Calibri"/>
          <w:sz w:val="24"/>
          <w:szCs w:val="24"/>
          <w:lang w:val="en-US"/>
        </w:rPr>
        <w:t xml:space="preserve"> increasing of </w:t>
      </w:r>
      <w:r w:rsidR="00C95F17" w:rsidRPr="000478B4">
        <w:rPr>
          <w:rFonts w:eastAsia="Calibri"/>
          <w:sz w:val="24"/>
          <w:szCs w:val="24"/>
          <w:lang w:val="en-US"/>
        </w:rPr>
        <w:t xml:space="preserve">the </w:t>
      </w:r>
      <w:r w:rsidRPr="000478B4">
        <w:rPr>
          <w:rFonts w:eastAsia="Calibri"/>
          <w:sz w:val="24"/>
          <w:szCs w:val="24"/>
          <w:lang w:val="en-US"/>
        </w:rPr>
        <w:t>Bank Z-score</w:t>
      </w:r>
      <w:r w:rsidR="004D48DE" w:rsidRPr="000478B4">
        <w:rPr>
          <w:rFonts w:eastAsia="Calibri"/>
          <w:sz w:val="24"/>
          <w:szCs w:val="24"/>
          <w:lang w:val="en-US"/>
        </w:rPr>
        <w:t xml:space="preserve"> </w:t>
      </w:r>
      <w:r w:rsidRPr="000478B4">
        <w:rPr>
          <w:rFonts w:eastAsia="Calibri"/>
          <w:sz w:val="24"/>
          <w:szCs w:val="24"/>
          <w:lang w:val="en-US"/>
        </w:rPr>
        <w:t xml:space="preserve">means </w:t>
      </w:r>
      <w:r w:rsidR="004D48DE" w:rsidRPr="000478B4">
        <w:rPr>
          <w:rFonts w:eastAsia="Calibri"/>
          <w:sz w:val="24"/>
          <w:szCs w:val="24"/>
          <w:lang w:val="en-US"/>
        </w:rPr>
        <w:t>positive dynamics, the critical value is less than 2 [</w:t>
      </w:r>
      <w:r w:rsidR="00295053" w:rsidRPr="000478B4">
        <w:rPr>
          <w:rFonts w:eastAsia="Calibri"/>
          <w:sz w:val="24"/>
          <w:szCs w:val="24"/>
        </w:rPr>
        <w:t>1</w:t>
      </w:r>
      <w:r w:rsidR="00163AE9" w:rsidRPr="000478B4">
        <w:rPr>
          <w:rFonts w:eastAsia="Calibri"/>
          <w:sz w:val="24"/>
          <w:szCs w:val="24"/>
        </w:rPr>
        <w:t>2</w:t>
      </w:r>
      <w:r w:rsidR="004D48DE" w:rsidRPr="000478B4">
        <w:rPr>
          <w:rFonts w:eastAsia="Calibri"/>
          <w:sz w:val="24"/>
          <w:szCs w:val="24"/>
          <w:lang w:val="en-US"/>
        </w:rPr>
        <w:t>].</w:t>
      </w:r>
    </w:p>
    <w:p w:rsidR="009D3490" w:rsidRPr="000478B4" w:rsidRDefault="009D3490" w:rsidP="000478B4">
      <w:pPr>
        <w:ind w:firstLine="709"/>
        <w:contextualSpacing/>
        <w:rPr>
          <w:rFonts w:eastAsia="Calibri"/>
          <w:sz w:val="24"/>
          <w:szCs w:val="24"/>
          <w:lang w:val="en-US"/>
        </w:rPr>
      </w:pPr>
      <w:r w:rsidRPr="000478B4">
        <w:rPr>
          <w:rFonts w:eastAsia="Calibri"/>
          <w:sz w:val="24"/>
          <w:szCs w:val="24"/>
          <w:lang w:val="en-US"/>
        </w:rPr>
        <w:t xml:space="preserve">In the period 2008-2017, among the neighboring countries of Ukraine </w:t>
      </w:r>
      <w:r w:rsidR="00C95F17" w:rsidRPr="000478B4">
        <w:rPr>
          <w:rFonts w:eastAsia="Calibri"/>
          <w:sz w:val="24"/>
          <w:szCs w:val="24"/>
          <w:lang w:val="en-US"/>
        </w:rPr>
        <w:t>–</w:t>
      </w:r>
      <w:r w:rsidRPr="000478B4">
        <w:rPr>
          <w:rFonts w:eastAsia="Calibri"/>
          <w:sz w:val="24"/>
          <w:szCs w:val="24"/>
          <w:lang w:val="en-US"/>
        </w:rPr>
        <w:t xml:space="preserve"> Poland, Belarus and Russia </w:t>
      </w:r>
      <w:r w:rsidR="00C95F17" w:rsidRPr="000478B4">
        <w:rPr>
          <w:rFonts w:eastAsia="Calibri"/>
          <w:sz w:val="24"/>
          <w:szCs w:val="24"/>
          <w:lang w:val="en-US"/>
        </w:rPr>
        <w:t>–</w:t>
      </w:r>
      <w:r w:rsidRPr="000478B4">
        <w:rPr>
          <w:rFonts w:eastAsia="Calibri"/>
          <w:sz w:val="24"/>
          <w:szCs w:val="24"/>
          <w:lang w:val="en-US"/>
        </w:rPr>
        <w:t xml:space="preserve"> </w:t>
      </w:r>
      <w:r w:rsidR="00C95F17" w:rsidRPr="000478B4">
        <w:rPr>
          <w:rFonts w:eastAsia="Calibri"/>
          <w:sz w:val="24"/>
          <w:szCs w:val="24"/>
          <w:lang w:val="en-US"/>
        </w:rPr>
        <w:t xml:space="preserve">the banking system of Poland (with a rate of 8.98 in 2017) has </w:t>
      </w:r>
      <w:r w:rsidRPr="000478B4">
        <w:rPr>
          <w:rFonts w:eastAsia="Calibri"/>
          <w:sz w:val="24"/>
          <w:szCs w:val="24"/>
          <w:lang w:val="en-US"/>
        </w:rPr>
        <w:t xml:space="preserve">the highest level of financial stability, although in 2008 </w:t>
      </w:r>
      <w:r w:rsidR="00C95F17" w:rsidRPr="000478B4">
        <w:rPr>
          <w:rFonts w:eastAsia="Calibri"/>
          <w:sz w:val="24"/>
          <w:szCs w:val="24"/>
          <w:lang w:val="en-US"/>
        </w:rPr>
        <w:t xml:space="preserve">the banking system of the Russian Federation was </w:t>
      </w:r>
      <w:r w:rsidRPr="000478B4">
        <w:rPr>
          <w:rFonts w:eastAsia="Calibri"/>
          <w:sz w:val="24"/>
          <w:szCs w:val="24"/>
          <w:lang w:val="en-US"/>
        </w:rPr>
        <w:t>the most stable (8.08). In 2009, the domestic banking system was the least financially stable, as the Bank Z-score was only 3.27. The lowest probability of default for Ukraine during this period was in 2012, when the Bank Z-score was 5.56, because this year the</w:t>
      </w:r>
      <w:r w:rsidR="00A26AA0" w:rsidRPr="000478B4">
        <w:rPr>
          <w:rFonts w:eastAsia="Calibri"/>
          <w:sz w:val="24"/>
          <w:szCs w:val="24"/>
          <w:lang w:val="en-US"/>
        </w:rPr>
        <w:t xml:space="preserve"> financial </w:t>
      </w:r>
      <w:r w:rsidRPr="000478B4">
        <w:rPr>
          <w:rFonts w:eastAsia="Calibri"/>
          <w:sz w:val="24"/>
          <w:szCs w:val="24"/>
          <w:lang w:val="en-US"/>
        </w:rPr>
        <w:t>result of the</w:t>
      </w:r>
      <w:r w:rsidR="00A26AA0" w:rsidRPr="000478B4">
        <w:rPr>
          <w:rFonts w:eastAsia="Calibri"/>
          <w:sz w:val="24"/>
          <w:szCs w:val="24"/>
          <w:lang w:val="en-US"/>
        </w:rPr>
        <w:t xml:space="preserve"> Ukrainian</w:t>
      </w:r>
      <w:r w:rsidRPr="000478B4">
        <w:rPr>
          <w:rFonts w:eastAsia="Calibri"/>
          <w:sz w:val="24"/>
          <w:szCs w:val="24"/>
          <w:lang w:val="en-US"/>
        </w:rPr>
        <w:t xml:space="preserve"> banks, in the end, became positive after three years of </w:t>
      </w:r>
      <w:r w:rsidR="00C95F17" w:rsidRPr="000478B4">
        <w:rPr>
          <w:rFonts w:eastAsia="Calibri"/>
          <w:sz w:val="24"/>
          <w:szCs w:val="24"/>
          <w:lang w:val="en-US"/>
        </w:rPr>
        <w:t xml:space="preserve">their </w:t>
      </w:r>
      <w:r w:rsidRPr="000478B4">
        <w:rPr>
          <w:rFonts w:eastAsia="Calibri"/>
          <w:sz w:val="24"/>
          <w:szCs w:val="24"/>
          <w:lang w:val="en-US"/>
        </w:rPr>
        <w:t xml:space="preserve">unprofitable </w:t>
      </w:r>
      <w:r w:rsidR="00C95F17" w:rsidRPr="000478B4">
        <w:rPr>
          <w:rFonts w:eastAsia="Calibri"/>
          <w:sz w:val="24"/>
          <w:szCs w:val="24"/>
          <w:lang w:val="en-US"/>
        </w:rPr>
        <w:t>performance</w:t>
      </w:r>
      <w:r w:rsidRPr="000478B4">
        <w:rPr>
          <w:rFonts w:eastAsia="Calibri"/>
          <w:sz w:val="24"/>
          <w:szCs w:val="24"/>
          <w:lang w:val="en-US"/>
        </w:rPr>
        <w:t>. In 2017, this indicator for Ukraine began to rise after the crisis fall in 2015-2016 and reached the level of 4.57 (which, at the same time, was almost twice less than the Polish</w:t>
      </w:r>
      <w:r w:rsidR="00C0487E" w:rsidRPr="000478B4">
        <w:rPr>
          <w:rFonts w:eastAsia="Calibri"/>
          <w:sz w:val="24"/>
          <w:szCs w:val="24"/>
          <w:lang w:val="en-US"/>
        </w:rPr>
        <w:t xml:space="preserve"> one</w:t>
      </w:r>
      <w:r w:rsidRPr="000478B4">
        <w:rPr>
          <w:rFonts w:eastAsia="Calibri"/>
          <w:sz w:val="24"/>
          <w:szCs w:val="24"/>
          <w:lang w:val="en-US"/>
        </w:rPr>
        <w:t>).</w:t>
      </w:r>
    </w:p>
    <w:p w:rsidR="00C0487E" w:rsidRPr="000478B4" w:rsidRDefault="00C0487E" w:rsidP="000478B4">
      <w:pPr>
        <w:ind w:firstLine="709"/>
        <w:contextualSpacing/>
        <w:rPr>
          <w:rFonts w:eastAsia="Calibri"/>
          <w:sz w:val="24"/>
          <w:szCs w:val="24"/>
        </w:rPr>
      </w:pPr>
      <w:r w:rsidRPr="000478B4">
        <w:rPr>
          <w:rFonts w:eastAsia="Calibri"/>
          <w:sz w:val="24"/>
          <w:szCs w:val="24"/>
          <w:lang w:val="en-US"/>
        </w:rPr>
        <w:t xml:space="preserve">The study of indicators that assess the performing </w:t>
      </w:r>
      <w:r w:rsidR="000D1816" w:rsidRPr="000478B4">
        <w:rPr>
          <w:rFonts w:eastAsia="Calibri"/>
          <w:sz w:val="24"/>
          <w:szCs w:val="24"/>
          <w:lang w:val="en-US"/>
        </w:rPr>
        <w:t>banking</w:t>
      </w:r>
      <w:r w:rsidRPr="000478B4">
        <w:rPr>
          <w:rFonts w:eastAsia="Calibri"/>
          <w:sz w:val="24"/>
          <w:szCs w:val="24"/>
          <w:lang w:val="en-US"/>
        </w:rPr>
        <w:t xml:space="preserve"> basic functions at the macroeconomic level (the ratio</w:t>
      </w:r>
      <w:r w:rsidR="00A26AA0" w:rsidRPr="000478B4">
        <w:rPr>
          <w:rFonts w:eastAsia="Calibri"/>
          <w:sz w:val="24"/>
          <w:szCs w:val="24"/>
          <w:lang w:val="en-US"/>
        </w:rPr>
        <w:t>s</w:t>
      </w:r>
      <w:r w:rsidRPr="000478B4">
        <w:rPr>
          <w:rFonts w:eastAsia="Calibri"/>
          <w:sz w:val="24"/>
          <w:szCs w:val="24"/>
          <w:lang w:val="en-US"/>
        </w:rPr>
        <w:t xml:space="preserve"> of banking capital, assets, loans and deposits to GDP) is an important area of ​​analysis of the financial stability of the Ukrainian banks [</w:t>
      </w:r>
      <w:r w:rsidR="00295053" w:rsidRPr="000478B4">
        <w:rPr>
          <w:rFonts w:eastAsia="Calibri"/>
          <w:sz w:val="24"/>
          <w:szCs w:val="24"/>
        </w:rPr>
        <w:t>1</w:t>
      </w:r>
      <w:r w:rsidR="00163AE9" w:rsidRPr="000478B4">
        <w:rPr>
          <w:rFonts w:eastAsia="Calibri"/>
          <w:sz w:val="24"/>
          <w:szCs w:val="24"/>
        </w:rPr>
        <w:t>3</w:t>
      </w:r>
      <w:r w:rsidRPr="000478B4">
        <w:rPr>
          <w:rFonts w:eastAsia="Calibri"/>
          <w:sz w:val="24"/>
          <w:szCs w:val="24"/>
          <w:lang w:val="en-US"/>
        </w:rPr>
        <w:t xml:space="preserve">] (Figure 2). It should be noted that from 2016 </w:t>
      </w:r>
      <w:r w:rsidR="000D1816" w:rsidRPr="000478B4">
        <w:rPr>
          <w:rFonts w:eastAsia="Calibri"/>
          <w:sz w:val="24"/>
          <w:szCs w:val="24"/>
          <w:lang w:val="en-US"/>
        </w:rPr>
        <w:t xml:space="preserve">the Bank for International Settlements began publishing statistics </w:t>
      </w:r>
      <w:r w:rsidRPr="000478B4">
        <w:rPr>
          <w:rFonts w:eastAsia="Calibri"/>
          <w:sz w:val="24"/>
          <w:szCs w:val="24"/>
          <w:lang w:val="en-US"/>
        </w:rPr>
        <w:t>on one of these indicators, namely, the bank assets to GDP</w:t>
      </w:r>
      <w:r w:rsidR="000D1816" w:rsidRPr="000478B4">
        <w:rPr>
          <w:rFonts w:eastAsia="Calibri"/>
          <w:sz w:val="24"/>
          <w:szCs w:val="24"/>
          <w:lang w:val="en-US"/>
        </w:rPr>
        <w:t xml:space="preserve"> ratio</w:t>
      </w:r>
      <w:r w:rsidRPr="000478B4">
        <w:rPr>
          <w:rFonts w:eastAsia="Calibri"/>
          <w:sz w:val="24"/>
          <w:szCs w:val="24"/>
          <w:lang w:val="en-US"/>
        </w:rPr>
        <w:t xml:space="preserve">, which reflects the depth of banking intermediation (financial depth), and recommended that central banks use it to monitor </w:t>
      </w:r>
      <w:r w:rsidR="000D1816" w:rsidRPr="000478B4">
        <w:rPr>
          <w:rFonts w:eastAsia="Calibri"/>
          <w:sz w:val="24"/>
          <w:szCs w:val="24"/>
          <w:lang w:val="en-US"/>
        </w:rPr>
        <w:t xml:space="preserve">banking sector’s </w:t>
      </w:r>
      <w:r w:rsidRPr="000478B4">
        <w:rPr>
          <w:rFonts w:eastAsia="Calibri"/>
          <w:sz w:val="24"/>
          <w:szCs w:val="24"/>
          <w:lang w:val="en-US"/>
        </w:rPr>
        <w:t>financial stability.</w:t>
      </w:r>
    </w:p>
    <w:p w:rsidR="00627C55" w:rsidRPr="000478B4" w:rsidRDefault="00627C55" w:rsidP="000478B4">
      <w:pPr>
        <w:contextualSpacing/>
        <w:jc w:val="center"/>
        <w:rPr>
          <w:rFonts w:eastAsia="Calibri"/>
          <w:sz w:val="24"/>
          <w:szCs w:val="24"/>
        </w:rPr>
      </w:pPr>
      <w:r w:rsidRPr="000478B4">
        <w:rPr>
          <w:rFonts w:ascii="Calibri" w:eastAsia="Calibri" w:hAnsi="Calibri"/>
          <w:noProof/>
          <w:sz w:val="24"/>
          <w:szCs w:val="24"/>
          <w:lang w:val="ru-RU" w:eastAsia="ru-RU"/>
        </w:rPr>
        <w:lastRenderedPageBreak/>
        <w:drawing>
          <wp:inline distT="0" distB="0" distL="0" distR="0" wp14:anchorId="3AD946D4" wp14:editId="3C7EFE9E">
            <wp:extent cx="5347411" cy="2896819"/>
            <wp:effectExtent l="0" t="0" r="24765" b="18415"/>
            <wp:docPr id="3" name="Диаграмма 3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12229" w:rsidRPr="000478B4" w:rsidRDefault="000D1816" w:rsidP="000478B4">
      <w:pPr>
        <w:contextualSpacing/>
        <w:jc w:val="center"/>
        <w:rPr>
          <w:rFonts w:eastAsia="Calibri"/>
          <w:b/>
          <w:sz w:val="24"/>
          <w:szCs w:val="24"/>
          <w:lang w:val="en-US"/>
        </w:rPr>
      </w:pPr>
      <w:proofErr w:type="gramStart"/>
      <w:r w:rsidRPr="000478B4">
        <w:rPr>
          <w:rFonts w:eastAsia="Calibri"/>
          <w:b/>
          <w:sz w:val="24"/>
          <w:szCs w:val="24"/>
          <w:lang w:val="en-US"/>
        </w:rPr>
        <w:t>Fig</w:t>
      </w:r>
      <w:r w:rsidR="000478B4">
        <w:rPr>
          <w:rFonts w:eastAsia="Calibri"/>
          <w:b/>
          <w:sz w:val="24"/>
          <w:szCs w:val="24"/>
          <w:lang w:val="en-US"/>
        </w:rPr>
        <w:t>.</w:t>
      </w:r>
      <w:r w:rsidR="00DE0EC8" w:rsidRPr="000478B4">
        <w:rPr>
          <w:rFonts w:eastAsia="Calibri"/>
          <w:b/>
          <w:sz w:val="24"/>
          <w:szCs w:val="24"/>
          <w:lang w:val="en-US"/>
        </w:rPr>
        <w:t xml:space="preserve"> 2.</w:t>
      </w:r>
      <w:proofErr w:type="gramEnd"/>
      <w:r w:rsidR="00DE0EC8" w:rsidRPr="000478B4">
        <w:rPr>
          <w:rFonts w:eastAsia="Calibri"/>
          <w:b/>
          <w:sz w:val="24"/>
          <w:szCs w:val="24"/>
          <w:lang w:val="en-US"/>
        </w:rPr>
        <w:t xml:space="preserve"> </w:t>
      </w:r>
      <w:r w:rsidR="00612229" w:rsidRPr="000478B4">
        <w:rPr>
          <w:rFonts w:eastAsia="Calibri"/>
          <w:b/>
          <w:sz w:val="24"/>
          <w:szCs w:val="24"/>
          <w:lang w:val="en-US"/>
        </w:rPr>
        <w:t xml:space="preserve">Dynamics of </w:t>
      </w:r>
      <w:r w:rsidRPr="000478B4">
        <w:rPr>
          <w:rFonts w:eastAsia="Calibri"/>
          <w:b/>
          <w:sz w:val="24"/>
          <w:szCs w:val="24"/>
          <w:lang w:val="en-US"/>
        </w:rPr>
        <w:t xml:space="preserve">the </w:t>
      </w:r>
      <w:r w:rsidR="00612229" w:rsidRPr="000478B4">
        <w:rPr>
          <w:rFonts w:eastAsia="Calibri"/>
          <w:b/>
          <w:sz w:val="24"/>
          <w:szCs w:val="24"/>
          <w:lang w:val="en-US"/>
        </w:rPr>
        <w:t>financial stability indicators of the Ukrainian banks in relation to the performance of their main functions</w:t>
      </w:r>
      <w:r w:rsidR="000478B4">
        <w:rPr>
          <w:rFonts w:eastAsia="Calibri"/>
          <w:b/>
          <w:sz w:val="24"/>
          <w:szCs w:val="24"/>
          <w:lang w:val="en-US"/>
        </w:rPr>
        <w:t xml:space="preserve"> </w:t>
      </w:r>
      <w:r w:rsidR="00612229" w:rsidRPr="000478B4">
        <w:rPr>
          <w:rFonts w:eastAsia="Calibri"/>
          <w:b/>
          <w:sz w:val="24"/>
          <w:szCs w:val="24"/>
          <w:lang w:val="en-US"/>
        </w:rPr>
        <w:t>at the macroeconomic level, %</w:t>
      </w:r>
      <w:r w:rsidR="002839B8" w:rsidRPr="000478B4">
        <w:rPr>
          <w:rFonts w:eastAsia="Calibri"/>
          <w:b/>
          <w:sz w:val="24"/>
          <w:szCs w:val="24"/>
          <w:lang w:val="en-US"/>
        </w:rPr>
        <w:t xml:space="preserve"> </w:t>
      </w:r>
    </w:p>
    <w:p w:rsidR="00DE0EC8" w:rsidRPr="000478B4" w:rsidRDefault="00BB588C" w:rsidP="000478B4">
      <w:pPr>
        <w:ind w:firstLine="709"/>
        <w:contextualSpacing/>
        <w:rPr>
          <w:rFonts w:eastAsia="Calibri"/>
          <w:sz w:val="20"/>
          <w:szCs w:val="20"/>
          <w:lang w:val="en-US"/>
        </w:rPr>
      </w:pPr>
      <w:r w:rsidRPr="000478B4">
        <w:rPr>
          <w:rFonts w:eastAsia="Calibri"/>
          <w:i/>
          <w:sz w:val="20"/>
          <w:szCs w:val="20"/>
          <w:lang w:val="en-US"/>
        </w:rPr>
        <w:t xml:space="preserve">*Complied according to the </w:t>
      </w:r>
      <w:r w:rsidR="00A922A6" w:rsidRPr="000478B4">
        <w:rPr>
          <w:rFonts w:eastAsia="Calibri"/>
          <w:i/>
          <w:sz w:val="20"/>
          <w:szCs w:val="20"/>
          <w:lang w:val="en-US"/>
        </w:rPr>
        <w:t xml:space="preserve">State Statistics Service of Ukraine and the </w:t>
      </w:r>
      <w:r w:rsidRPr="000478B4">
        <w:rPr>
          <w:rFonts w:eastAsia="Calibri"/>
          <w:i/>
          <w:sz w:val="20"/>
          <w:szCs w:val="20"/>
          <w:lang w:val="en-US"/>
        </w:rPr>
        <w:t xml:space="preserve">National Bank of Ukraine </w:t>
      </w:r>
      <w:r w:rsidR="00DE0EC8" w:rsidRPr="000478B4">
        <w:rPr>
          <w:rFonts w:eastAsia="Calibri"/>
          <w:i/>
          <w:sz w:val="20"/>
          <w:szCs w:val="20"/>
          <w:lang w:val="en-US"/>
        </w:rPr>
        <w:t>[</w:t>
      </w:r>
      <w:r w:rsidR="00B10C28" w:rsidRPr="000478B4">
        <w:rPr>
          <w:rFonts w:eastAsia="Calibri"/>
          <w:i/>
          <w:sz w:val="20"/>
          <w:szCs w:val="20"/>
        </w:rPr>
        <w:t>1</w:t>
      </w:r>
      <w:r w:rsidR="00163AE9" w:rsidRPr="000478B4">
        <w:rPr>
          <w:rFonts w:eastAsia="Calibri"/>
          <w:i/>
          <w:sz w:val="20"/>
          <w:szCs w:val="20"/>
        </w:rPr>
        <w:t>4</w:t>
      </w:r>
      <w:r w:rsidR="00A26AA0" w:rsidRPr="000478B4">
        <w:rPr>
          <w:rFonts w:eastAsia="Calibri"/>
          <w:i/>
          <w:sz w:val="20"/>
          <w:szCs w:val="20"/>
          <w:lang w:val="en-US"/>
        </w:rPr>
        <w:t>;</w:t>
      </w:r>
      <w:r w:rsidR="00A26AA0" w:rsidRPr="000478B4">
        <w:rPr>
          <w:rFonts w:eastAsia="Calibri"/>
          <w:i/>
          <w:sz w:val="20"/>
          <w:szCs w:val="20"/>
        </w:rPr>
        <w:t xml:space="preserve"> 10</w:t>
      </w:r>
      <w:r w:rsidR="00DE0EC8" w:rsidRPr="000478B4">
        <w:rPr>
          <w:rFonts w:eastAsia="Calibri"/>
          <w:i/>
          <w:sz w:val="20"/>
          <w:szCs w:val="20"/>
          <w:lang w:val="en-US"/>
        </w:rPr>
        <w:t>]</w:t>
      </w:r>
      <w:r w:rsidR="00DE0EC8" w:rsidRPr="000478B4">
        <w:rPr>
          <w:rFonts w:eastAsia="Calibri"/>
          <w:sz w:val="20"/>
          <w:szCs w:val="20"/>
          <w:lang w:val="en-US"/>
        </w:rPr>
        <w:t>.</w:t>
      </w:r>
    </w:p>
    <w:p w:rsidR="00A26AA0" w:rsidRPr="000478B4" w:rsidRDefault="00A26AA0" w:rsidP="000478B4">
      <w:pPr>
        <w:ind w:firstLine="709"/>
        <w:contextualSpacing/>
        <w:rPr>
          <w:rFonts w:eastAsia="Calibri"/>
          <w:sz w:val="24"/>
          <w:szCs w:val="24"/>
          <w:lang w:val="en-US"/>
        </w:rPr>
      </w:pPr>
    </w:p>
    <w:p w:rsidR="000D1816" w:rsidRPr="000478B4" w:rsidRDefault="000D1816" w:rsidP="000478B4">
      <w:pPr>
        <w:ind w:firstLine="709"/>
        <w:contextualSpacing/>
        <w:rPr>
          <w:rFonts w:eastAsia="Calibri"/>
          <w:sz w:val="24"/>
          <w:szCs w:val="24"/>
          <w:lang w:val="en-US"/>
        </w:rPr>
      </w:pPr>
      <w:r w:rsidRPr="000478B4">
        <w:rPr>
          <w:rFonts w:eastAsia="Calibri"/>
          <w:sz w:val="24"/>
          <w:szCs w:val="24"/>
          <w:lang w:val="en-US"/>
        </w:rPr>
        <w:t xml:space="preserve">The data shown in Figure </w:t>
      </w:r>
      <w:proofErr w:type="gramStart"/>
      <w:r w:rsidRPr="000478B4">
        <w:rPr>
          <w:rFonts w:eastAsia="Calibri"/>
          <w:sz w:val="24"/>
          <w:szCs w:val="24"/>
          <w:lang w:val="en-US"/>
        </w:rPr>
        <w:t>2,</w:t>
      </w:r>
      <w:proofErr w:type="gramEnd"/>
      <w:r w:rsidRPr="000478B4">
        <w:rPr>
          <w:rFonts w:eastAsia="Calibri"/>
          <w:sz w:val="24"/>
          <w:szCs w:val="24"/>
          <w:lang w:val="en-US"/>
        </w:rPr>
        <w:t xml:space="preserve"> indicate that the penetration of banks into the economy had a steady downward trend</w:t>
      </w:r>
      <w:r w:rsidR="00A26AA0" w:rsidRPr="000478B4">
        <w:rPr>
          <w:rFonts w:eastAsia="Calibri"/>
          <w:sz w:val="24"/>
          <w:szCs w:val="24"/>
          <w:lang w:val="en-US"/>
        </w:rPr>
        <w:t xml:space="preserve"> in almost all indicators</w:t>
      </w:r>
      <w:r w:rsidRPr="000478B4">
        <w:rPr>
          <w:rFonts w:eastAsia="Calibri"/>
          <w:sz w:val="24"/>
          <w:szCs w:val="24"/>
          <w:lang w:val="en-US"/>
        </w:rPr>
        <w:t>. All indicators decreased from 1.5 to 2.5 times during the analysis period, and only at the end of 2019 the ratios of deposits and of capital increased slightly compared to the previous year. Thus, the development of the banking sector “does not keep up” with the development and needs of the economy, so its financial stability determined by other approaches is quite relative.</w:t>
      </w:r>
    </w:p>
    <w:p w:rsidR="000D1816" w:rsidRPr="000478B4" w:rsidRDefault="00DC4DDA" w:rsidP="000478B4">
      <w:pPr>
        <w:ind w:firstLine="709"/>
        <w:contextualSpacing/>
        <w:rPr>
          <w:rFonts w:eastAsia="Calibri"/>
          <w:sz w:val="24"/>
          <w:szCs w:val="24"/>
          <w:lang w:val="en-US"/>
        </w:rPr>
      </w:pPr>
      <w:r w:rsidRPr="000478B4">
        <w:rPr>
          <w:rFonts w:eastAsia="Calibri"/>
          <w:sz w:val="24"/>
          <w:szCs w:val="24"/>
          <w:lang w:val="en-US"/>
        </w:rPr>
        <w:t>Assessing</w:t>
      </w:r>
      <w:r w:rsidR="000D1816" w:rsidRPr="000478B4">
        <w:rPr>
          <w:rFonts w:eastAsia="Calibri"/>
          <w:sz w:val="24"/>
          <w:szCs w:val="24"/>
          <w:lang w:val="en-US"/>
        </w:rPr>
        <w:t xml:space="preserve"> the growth rates of </w:t>
      </w:r>
      <w:r w:rsidR="007B1C54" w:rsidRPr="000478B4">
        <w:rPr>
          <w:rFonts w:eastAsia="Calibri"/>
          <w:sz w:val="24"/>
          <w:szCs w:val="24"/>
          <w:lang w:val="en-US"/>
        </w:rPr>
        <w:t xml:space="preserve">the </w:t>
      </w:r>
      <w:r w:rsidR="000D1816" w:rsidRPr="000478B4">
        <w:rPr>
          <w:rFonts w:eastAsia="Calibri"/>
          <w:sz w:val="24"/>
          <w:szCs w:val="24"/>
          <w:lang w:val="en-US"/>
        </w:rPr>
        <w:t>indicators that are primary for the calculation of the above</w:t>
      </w:r>
      <w:r w:rsidRPr="000478B4">
        <w:rPr>
          <w:rFonts w:eastAsia="Calibri"/>
          <w:sz w:val="24"/>
          <w:szCs w:val="24"/>
          <w:lang w:val="en-US"/>
        </w:rPr>
        <w:t xml:space="preserve"> mentioned</w:t>
      </w:r>
      <w:r w:rsidR="000D1816" w:rsidRPr="000478B4">
        <w:rPr>
          <w:rFonts w:eastAsia="Calibri"/>
          <w:sz w:val="24"/>
          <w:szCs w:val="24"/>
          <w:lang w:val="en-US"/>
        </w:rPr>
        <w:t xml:space="preserve"> </w:t>
      </w:r>
      <w:r w:rsidRPr="000478B4">
        <w:rPr>
          <w:rFonts w:eastAsia="Calibri"/>
          <w:sz w:val="24"/>
          <w:szCs w:val="24"/>
          <w:lang w:val="en-US"/>
        </w:rPr>
        <w:t>indexes</w:t>
      </w:r>
      <w:r w:rsidR="000D1816" w:rsidRPr="000478B4">
        <w:rPr>
          <w:rFonts w:eastAsia="Calibri"/>
          <w:sz w:val="24"/>
          <w:szCs w:val="24"/>
          <w:lang w:val="en-US"/>
        </w:rPr>
        <w:t xml:space="preserve"> of financi</w:t>
      </w:r>
      <w:r w:rsidR="007B1C54" w:rsidRPr="000478B4">
        <w:rPr>
          <w:rFonts w:eastAsia="Calibri"/>
          <w:sz w:val="24"/>
          <w:szCs w:val="24"/>
          <w:lang w:val="en-US"/>
        </w:rPr>
        <w:t>al stability</w:t>
      </w:r>
      <w:r w:rsidR="000D1816" w:rsidRPr="000478B4">
        <w:rPr>
          <w:rFonts w:eastAsia="Calibri"/>
          <w:sz w:val="24"/>
          <w:szCs w:val="24"/>
          <w:lang w:val="en-US"/>
        </w:rPr>
        <w:t xml:space="preserve"> allows for a more in-depth analysis of the processes under study (Table 1).</w:t>
      </w:r>
    </w:p>
    <w:p w:rsidR="00DE0EC8" w:rsidRPr="000478B4" w:rsidRDefault="007B1C54" w:rsidP="000478B4">
      <w:pPr>
        <w:ind w:firstLine="567"/>
        <w:contextualSpacing/>
        <w:jc w:val="right"/>
        <w:rPr>
          <w:rFonts w:eastAsia="Calibri"/>
          <w:b/>
          <w:sz w:val="24"/>
          <w:szCs w:val="24"/>
          <w:lang w:val="en-US"/>
        </w:rPr>
      </w:pPr>
      <w:r w:rsidRPr="000478B4">
        <w:rPr>
          <w:rFonts w:eastAsia="Calibri"/>
          <w:b/>
          <w:sz w:val="24"/>
          <w:szCs w:val="24"/>
          <w:lang w:val="en-US"/>
        </w:rPr>
        <w:t>Table</w:t>
      </w:r>
      <w:r w:rsidR="00DE0EC8" w:rsidRPr="000478B4">
        <w:rPr>
          <w:rFonts w:eastAsia="Calibri"/>
          <w:b/>
          <w:sz w:val="24"/>
          <w:szCs w:val="24"/>
          <w:lang w:val="en-US"/>
        </w:rPr>
        <w:t xml:space="preserve"> </w:t>
      </w:r>
      <w:r w:rsidR="00280D42" w:rsidRPr="000478B4">
        <w:rPr>
          <w:rFonts w:eastAsia="Calibri"/>
          <w:b/>
          <w:sz w:val="24"/>
          <w:szCs w:val="24"/>
          <w:lang w:val="en-US"/>
        </w:rPr>
        <w:t>1</w:t>
      </w:r>
    </w:p>
    <w:p w:rsidR="007B1C54" w:rsidRPr="000478B4" w:rsidRDefault="007B1C54" w:rsidP="000478B4">
      <w:pPr>
        <w:tabs>
          <w:tab w:val="left" w:pos="284"/>
        </w:tabs>
        <w:jc w:val="center"/>
        <w:rPr>
          <w:rFonts w:eastAsia="Times New Roman"/>
          <w:b/>
          <w:color w:val="000000"/>
          <w:sz w:val="24"/>
          <w:szCs w:val="24"/>
          <w:lang w:val="en-US" w:eastAsia="ru-RU"/>
        </w:rPr>
      </w:pPr>
      <w:r w:rsidRPr="000478B4">
        <w:rPr>
          <w:rFonts w:eastAsia="Times New Roman"/>
          <w:b/>
          <w:color w:val="000000"/>
          <w:sz w:val="24"/>
          <w:szCs w:val="24"/>
          <w:lang w:val="en-US" w:eastAsia="ru-RU"/>
        </w:rPr>
        <w:t xml:space="preserve">Growth rates of GDP and assets, loans, deposits and capital of </w:t>
      </w:r>
    </w:p>
    <w:p w:rsidR="00DE0EC8" w:rsidRPr="000478B4" w:rsidRDefault="007B1C54" w:rsidP="000478B4">
      <w:pPr>
        <w:tabs>
          <w:tab w:val="left" w:pos="284"/>
        </w:tabs>
        <w:jc w:val="center"/>
        <w:rPr>
          <w:rFonts w:eastAsia="Times New Roman"/>
          <w:b/>
          <w:color w:val="000000"/>
          <w:sz w:val="24"/>
          <w:szCs w:val="24"/>
          <w:vertAlign w:val="superscript"/>
          <w:lang w:val="en-US" w:eastAsia="ru-RU"/>
        </w:rPr>
      </w:pPr>
      <w:proofErr w:type="gramStart"/>
      <w:r w:rsidRPr="000478B4">
        <w:rPr>
          <w:rFonts w:eastAsia="Times New Roman"/>
          <w:b/>
          <w:color w:val="000000"/>
          <w:sz w:val="24"/>
          <w:szCs w:val="24"/>
          <w:lang w:val="en-US" w:eastAsia="ru-RU"/>
        </w:rPr>
        <w:t>the</w:t>
      </w:r>
      <w:proofErr w:type="gramEnd"/>
      <w:r w:rsidRPr="000478B4">
        <w:rPr>
          <w:rFonts w:eastAsia="Times New Roman"/>
          <w:b/>
          <w:color w:val="000000"/>
          <w:sz w:val="24"/>
          <w:szCs w:val="24"/>
          <w:lang w:val="en-US" w:eastAsia="ru-RU"/>
        </w:rPr>
        <w:t xml:space="preserve"> Ukrainian banks</w:t>
      </w:r>
      <w:r w:rsidR="00DE0EC8" w:rsidRPr="000478B4">
        <w:rPr>
          <w:rFonts w:eastAsia="Times New Roman"/>
          <w:b/>
          <w:color w:val="000000"/>
          <w:sz w:val="24"/>
          <w:szCs w:val="24"/>
          <w:lang w:val="en-US" w:eastAsia="ru-RU"/>
        </w:rPr>
        <w:t>, %</w:t>
      </w:r>
    </w:p>
    <w:tbl>
      <w:tblPr>
        <w:tblW w:w="907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2"/>
        <w:gridCol w:w="1190"/>
        <w:gridCol w:w="1190"/>
        <w:gridCol w:w="1190"/>
        <w:gridCol w:w="1190"/>
        <w:gridCol w:w="1190"/>
      </w:tblGrid>
      <w:tr w:rsidR="00DE0EC8" w:rsidRPr="000478B4" w:rsidTr="006E6CED">
        <w:trPr>
          <w:jc w:val="center"/>
        </w:trPr>
        <w:tc>
          <w:tcPr>
            <w:tcW w:w="3122" w:type="dxa"/>
          </w:tcPr>
          <w:p w:rsidR="00DE0EC8" w:rsidRPr="000478B4" w:rsidRDefault="00280D42" w:rsidP="000478B4">
            <w:pPr>
              <w:tabs>
                <w:tab w:val="left" w:pos="284"/>
              </w:tabs>
              <w:jc w:val="center"/>
              <w:rPr>
                <w:rFonts w:eastAsia="Times New Roman"/>
                <w:color w:val="000000"/>
                <w:sz w:val="22"/>
                <w:szCs w:val="22"/>
                <w:lang w:val="en-US" w:eastAsia="ru-RU"/>
              </w:rPr>
            </w:pPr>
            <w:r w:rsidRPr="000478B4">
              <w:rPr>
                <w:rFonts w:eastAsia="Times New Roman"/>
                <w:color w:val="000000"/>
                <w:sz w:val="22"/>
                <w:szCs w:val="22"/>
                <w:lang w:val="en-US" w:eastAsia="ru-RU"/>
              </w:rPr>
              <w:t>Indicators</w:t>
            </w:r>
            <w:r w:rsidR="00DE0EC8" w:rsidRPr="000478B4">
              <w:rPr>
                <w:rFonts w:eastAsia="Times New Roman"/>
                <w:color w:val="000000"/>
                <w:sz w:val="22"/>
                <w:szCs w:val="22"/>
                <w:lang w:val="en-US" w:eastAsia="ru-RU"/>
              </w:rPr>
              <w:t>*</w:t>
            </w:r>
          </w:p>
        </w:tc>
        <w:tc>
          <w:tcPr>
            <w:tcW w:w="1190" w:type="dxa"/>
          </w:tcPr>
          <w:p w:rsidR="00DE0EC8" w:rsidRPr="000478B4" w:rsidRDefault="00DE0EC8" w:rsidP="000478B4">
            <w:pPr>
              <w:tabs>
                <w:tab w:val="left" w:pos="284"/>
              </w:tabs>
              <w:ind w:left="-108" w:right="-144"/>
              <w:jc w:val="center"/>
              <w:rPr>
                <w:rFonts w:eastAsia="Times New Roman"/>
                <w:color w:val="000000"/>
                <w:sz w:val="22"/>
                <w:szCs w:val="22"/>
                <w:lang w:val="en-US" w:eastAsia="ru-RU"/>
              </w:rPr>
            </w:pPr>
            <w:r w:rsidRPr="000478B4">
              <w:rPr>
                <w:rFonts w:eastAsia="Times New Roman"/>
                <w:color w:val="000000"/>
                <w:sz w:val="22"/>
                <w:szCs w:val="22"/>
                <w:lang w:val="en-US" w:eastAsia="ru-RU"/>
              </w:rPr>
              <w:t>01.01.2016</w:t>
            </w:r>
          </w:p>
        </w:tc>
        <w:tc>
          <w:tcPr>
            <w:tcW w:w="1190" w:type="dxa"/>
          </w:tcPr>
          <w:p w:rsidR="00DE0EC8" w:rsidRPr="000478B4" w:rsidRDefault="00DE0EC8" w:rsidP="000478B4">
            <w:pPr>
              <w:tabs>
                <w:tab w:val="left" w:pos="284"/>
              </w:tabs>
              <w:ind w:left="-108" w:right="-144"/>
              <w:jc w:val="center"/>
              <w:rPr>
                <w:rFonts w:eastAsia="Times New Roman"/>
                <w:color w:val="000000"/>
                <w:sz w:val="22"/>
                <w:szCs w:val="22"/>
                <w:lang w:val="en-US" w:eastAsia="ru-RU"/>
              </w:rPr>
            </w:pPr>
            <w:r w:rsidRPr="000478B4">
              <w:rPr>
                <w:rFonts w:eastAsia="Times New Roman"/>
                <w:color w:val="000000"/>
                <w:sz w:val="22"/>
                <w:szCs w:val="22"/>
                <w:lang w:val="en-US" w:eastAsia="ru-RU"/>
              </w:rPr>
              <w:t>01.01.2017</w:t>
            </w:r>
          </w:p>
        </w:tc>
        <w:tc>
          <w:tcPr>
            <w:tcW w:w="1190" w:type="dxa"/>
          </w:tcPr>
          <w:p w:rsidR="00DE0EC8" w:rsidRPr="000478B4" w:rsidRDefault="00DE0EC8" w:rsidP="000478B4">
            <w:pPr>
              <w:ind w:left="-108" w:right="-144"/>
              <w:jc w:val="center"/>
              <w:rPr>
                <w:rFonts w:ascii="Calibri" w:eastAsia="Calibri" w:hAnsi="Calibri"/>
                <w:sz w:val="22"/>
                <w:szCs w:val="22"/>
                <w:lang w:val="en-US"/>
              </w:rPr>
            </w:pPr>
            <w:r w:rsidRPr="000478B4">
              <w:rPr>
                <w:rFonts w:eastAsia="Times New Roman"/>
                <w:color w:val="000000"/>
                <w:sz w:val="22"/>
                <w:szCs w:val="22"/>
                <w:lang w:val="en-US" w:eastAsia="ru-RU"/>
              </w:rPr>
              <w:t>01.01.2018</w:t>
            </w:r>
          </w:p>
        </w:tc>
        <w:tc>
          <w:tcPr>
            <w:tcW w:w="1190" w:type="dxa"/>
          </w:tcPr>
          <w:p w:rsidR="00DE0EC8" w:rsidRPr="000478B4" w:rsidRDefault="00DE0EC8" w:rsidP="000478B4">
            <w:pPr>
              <w:ind w:left="-108" w:right="-144"/>
              <w:jc w:val="center"/>
              <w:rPr>
                <w:rFonts w:ascii="Calibri" w:eastAsia="Calibri" w:hAnsi="Calibri"/>
                <w:sz w:val="22"/>
                <w:szCs w:val="22"/>
                <w:lang w:val="en-US"/>
              </w:rPr>
            </w:pPr>
            <w:r w:rsidRPr="000478B4">
              <w:rPr>
                <w:rFonts w:eastAsia="Times New Roman"/>
                <w:color w:val="000000"/>
                <w:sz w:val="22"/>
                <w:szCs w:val="22"/>
                <w:lang w:val="en-US" w:eastAsia="ru-RU"/>
              </w:rPr>
              <w:t>01.01.2019</w:t>
            </w:r>
          </w:p>
        </w:tc>
        <w:tc>
          <w:tcPr>
            <w:tcW w:w="1190" w:type="dxa"/>
          </w:tcPr>
          <w:p w:rsidR="00DE0EC8" w:rsidRPr="000478B4" w:rsidRDefault="00DE0EC8" w:rsidP="000478B4">
            <w:pPr>
              <w:ind w:left="-108" w:right="-144"/>
              <w:jc w:val="center"/>
              <w:rPr>
                <w:rFonts w:ascii="Calibri" w:eastAsia="Calibri" w:hAnsi="Calibri"/>
                <w:sz w:val="22"/>
                <w:szCs w:val="22"/>
                <w:lang w:val="en-US"/>
              </w:rPr>
            </w:pPr>
            <w:r w:rsidRPr="000478B4">
              <w:rPr>
                <w:rFonts w:eastAsia="Times New Roman"/>
                <w:color w:val="000000"/>
                <w:sz w:val="22"/>
                <w:szCs w:val="22"/>
                <w:lang w:val="en-US" w:eastAsia="ru-RU"/>
              </w:rPr>
              <w:t>01.01.2020</w:t>
            </w:r>
          </w:p>
        </w:tc>
      </w:tr>
      <w:tr w:rsidR="00DE0EC8" w:rsidRPr="000478B4" w:rsidTr="006E6CED">
        <w:trPr>
          <w:jc w:val="center"/>
        </w:trPr>
        <w:tc>
          <w:tcPr>
            <w:tcW w:w="3122" w:type="dxa"/>
          </w:tcPr>
          <w:p w:rsidR="00DE0EC8" w:rsidRPr="000478B4" w:rsidRDefault="00280D42" w:rsidP="000478B4">
            <w:pPr>
              <w:tabs>
                <w:tab w:val="left" w:pos="284"/>
              </w:tabs>
              <w:jc w:val="left"/>
              <w:rPr>
                <w:rFonts w:eastAsia="Times New Roman"/>
                <w:color w:val="000000"/>
                <w:sz w:val="22"/>
                <w:szCs w:val="22"/>
                <w:lang w:val="en-US" w:eastAsia="ru-RU"/>
              </w:rPr>
            </w:pPr>
            <w:r w:rsidRPr="000478B4">
              <w:rPr>
                <w:rFonts w:eastAsia="Times New Roman"/>
                <w:color w:val="000000"/>
                <w:sz w:val="22"/>
                <w:szCs w:val="22"/>
                <w:lang w:val="en-US" w:eastAsia="ru-RU"/>
              </w:rPr>
              <w:t xml:space="preserve">GDP growth rate </w:t>
            </w:r>
          </w:p>
        </w:tc>
        <w:tc>
          <w:tcPr>
            <w:tcW w:w="1190" w:type="dxa"/>
            <w:shd w:val="clear" w:color="auto" w:fill="auto"/>
            <w:vAlign w:val="center"/>
          </w:tcPr>
          <w:p w:rsidR="00DE0EC8" w:rsidRPr="000478B4" w:rsidRDefault="00DE0EC8" w:rsidP="000478B4">
            <w:pPr>
              <w:jc w:val="center"/>
              <w:rPr>
                <w:rFonts w:eastAsia="Calibri"/>
                <w:sz w:val="22"/>
                <w:szCs w:val="22"/>
                <w:lang w:val="en-US"/>
              </w:rPr>
            </w:pPr>
            <w:r w:rsidRPr="000478B4">
              <w:rPr>
                <w:rFonts w:eastAsia="Calibri"/>
                <w:sz w:val="22"/>
                <w:szCs w:val="22"/>
                <w:lang w:val="en-US"/>
              </w:rPr>
              <w:t>25</w:t>
            </w:r>
            <w:r w:rsidR="0048150C" w:rsidRPr="000478B4">
              <w:rPr>
                <w:rFonts w:eastAsia="Calibri"/>
                <w:sz w:val="22"/>
                <w:szCs w:val="22"/>
                <w:lang w:val="en-US"/>
              </w:rPr>
              <w:t>.</w:t>
            </w:r>
            <w:r w:rsidRPr="000478B4">
              <w:rPr>
                <w:rFonts w:eastAsia="Calibri"/>
                <w:sz w:val="22"/>
                <w:szCs w:val="22"/>
                <w:lang w:val="en-US"/>
              </w:rPr>
              <w:t>3</w:t>
            </w:r>
          </w:p>
        </w:tc>
        <w:tc>
          <w:tcPr>
            <w:tcW w:w="1190" w:type="dxa"/>
            <w:shd w:val="clear" w:color="auto" w:fill="auto"/>
            <w:vAlign w:val="center"/>
          </w:tcPr>
          <w:p w:rsidR="00DE0EC8" w:rsidRPr="000478B4" w:rsidRDefault="00DE0EC8" w:rsidP="000478B4">
            <w:pPr>
              <w:jc w:val="center"/>
              <w:rPr>
                <w:rFonts w:eastAsia="Calibri"/>
                <w:sz w:val="22"/>
                <w:szCs w:val="22"/>
                <w:lang w:val="en-US"/>
              </w:rPr>
            </w:pPr>
            <w:r w:rsidRPr="000478B4">
              <w:rPr>
                <w:rFonts w:eastAsia="Calibri"/>
                <w:sz w:val="22"/>
                <w:szCs w:val="22"/>
                <w:lang w:val="en-US"/>
              </w:rPr>
              <w:t>20</w:t>
            </w:r>
            <w:r w:rsidR="0048150C" w:rsidRPr="000478B4">
              <w:rPr>
                <w:rFonts w:eastAsia="Calibri"/>
                <w:sz w:val="22"/>
                <w:szCs w:val="22"/>
                <w:lang w:val="en-US"/>
              </w:rPr>
              <w:t>.</w:t>
            </w:r>
            <w:r w:rsidRPr="000478B4">
              <w:rPr>
                <w:rFonts w:eastAsia="Calibri"/>
                <w:sz w:val="22"/>
                <w:szCs w:val="22"/>
                <w:lang w:val="en-US"/>
              </w:rPr>
              <w:t>0</w:t>
            </w:r>
          </w:p>
        </w:tc>
        <w:tc>
          <w:tcPr>
            <w:tcW w:w="1190" w:type="dxa"/>
            <w:shd w:val="clear" w:color="auto" w:fill="auto"/>
            <w:vAlign w:val="center"/>
          </w:tcPr>
          <w:p w:rsidR="00DE0EC8" w:rsidRPr="000478B4" w:rsidRDefault="00DE0EC8" w:rsidP="000478B4">
            <w:pPr>
              <w:jc w:val="center"/>
              <w:rPr>
                <w:rFonts w:eastAsia="Calibri"/>
                <w:sz w:val="22"/>
                <w:szCs w:val="22"/>
                <w:lang w:val="en-US"/>
              </w:rPr>
            </w:pPr>
            <w:r w:rsidRPr="000478B4">
              <w:rPr>
                <w:rFonts w:eastAsia="Calibri"/>
                <w:sz w:val="22"/>
                <w:szCs w:val="22"/>
                <w:lang w:val="en-US"/>
              </w:rPr>
              <w:t>25</w:t>
            </w:r>
            <w:r w:rsidR="0048150C" w:rsidRPr="000478B4">
              <w:rPr>
                <w:rFonts w:eastAsia="Calibri"/>
                <w:sz w:val="22"/>
                <w:szCs w:val="22"/>
                <w:lang w:val="en-US"/>
              </w:rPr>
              <w:t>.</w:t>
            </w:r>
            <w:r w:rsidRPr="000478B4">
              <w:rPr>
                <w:rFonts w:eastAsia="Calibri"/>
                <w:sz w:val="22"/>
                <w:szCs w:val="22"/>
                <w:lang w:val="en-US"/>
              </w:rPr>
              <w:t>1</w:t>
            </w:r>
          </w:p>
        </w:tc>
        <w:tc>
          <w:tcPr>
            <w:tcW w:w="1190" w:type="dxa"/>
            <w:shd w:val="clear" w:color="auto" w:fill="auto"/>
            <w:vAlign w:val="center"/>
          </w:tcPr>
          <w:p w:rsidR="00DE0EC8" w:rsidRPr="000478B4" w:rsidRDefault="00DE0EC8" w:rsidP="000478B4">
            <w:pPr>
              <w:jc w:val="center"/>
              <w:rPr>
                <w:rFonts w:eastAsia="Calibri"/>
                <w:sz w:val="22"/>
                <w:szCs w:val="22"/>
                <w:lang w:val="en-US"/>
              </w:rPr>
            </w:pPr>
            <w:r w:rsidRPr="000478B4">
              <w:rPr>
                <w:rFonts w:eastAsia="Calibri"/>
                <w:sz w:val="22"/>
                <w:szCs w:val="22"/>
                <w:lang w:val="en-US"/>
              </w:rPr>
              <w:t>19</w:t>
            </w:r>
            <w:r w:rsidR="0048150C" w:rsidRPr="000478B4">
              <w:rPr>
                <w:rFonts w:eastAsia="Calibri"/>
                <w:sz w:val="22"/>
                <w:szCs w:val="22"/>
                <w:lang w:val="en-US"/>
              </w:rPr>
              <w:t>.</w:t>
            </w:r>
            <w:r w:rsidRPr="000478B4">
              <w:rPr>
                <w:rFonts w:eastAsia="Calibri"/>
                <w:sz w:val="22"/>
                <w:szCs w:val="22"/>
                <w:lang w:val="en-US"/>
              </w:rPr>
              <w:t>3</w:t>
            </w:r>
          </w:p>
        </w:tc>
        <w:tc>
          <w:tcPr>
            <w:tcW w:w="1190" w:type="dxa"/>
            <w:shd w:val="clear" w:color="auto" w:fill="auto"/>
            <w:vAlign w:val="center"/>
          </w:tcPr>
          <w:p w:rsidR="00DE0EC8" w:rsidRPr="000478B4" w:rsidRDefault="00DE0EC8" w:rsidP="000478B4">
            <w:pPr>
              <w:jc w:val="center"/>
              <w:rPr>
                <w:rFonts w:eastAsia="Calibri"/>
                <w:sz w:val="22"/>
                <w:szCs w:val="22"/>
                <w:lang w:val="en-US"/>
              </w:rPr>
            </w:pPr>
            <w:r w:rsidRPr="000478B4">
              <w:rPr>
                <w:rFonts w:eastAsia="Calibri"/>
                <w:sz w:val="22"/>
                <w:szCs w:val="22"/>
                <w:lang w:val="en-US"/>
              </w:rPr>
              <w:t>11</w:t>
            </w:r>
            <w:r w:rsidR="0048150C" w:rsidRPr="000478B4">
              <w:rPr>
                <w:rFonts w:eastAsia="Calibri"/>
                <w:sz w:val="22"/>
                <w:szCs w:val="22"/>
                <w:lang w:val="en-US"/>
              </w:rPr>
              <w:t>.</w:t>
            </w:r>
            <w:r w:rsidRPr="000478B4">
              <w:rPr>
                <w:rFonts w:eastAsia="Calibri"/>
                <w:sz w:val="22"/>
                <w:szCs w:val="22"/>
                <w:lang w:val="en-US"/>
              </w:rPr>
              <w:t>6</w:t>
            </w:r>
          </w:p>
        </w:tc>
      </w:tr>
      <w:tr w:rsidR="00DE0EC8" w:rsidRPr="000478B4" w:rsidTr="006E6CED">
        <w:trPr>
          <w:jc w:val="center"/>
        </w:trPr>
        <w:tc>
          <w:tcPr>
            <w:tcW w:w="3122" w:type="dxa"/>
          </w:tcPr>
          <w:p w:rsidR="00DE0EC8" w:rsidRPr="000478B4" w:rsidRDefault="00280D42" w:rsidP="000478B4">
            <w:pPr>
              <w:tabs>
                <w:tab w:val="left" w:pos="284"/>
              </w:tabs>
              <w:jc w:val="left"/>
              <w:rPr>
                <w:rFonts w:eastAsia="Times New Roman"/>
                <w:color w:val="000000"/>
                <w:sz w:val="22"/>
                <w:szCs w:val="22"/>
                <w:lang w:val="en-US" w:eastAsia="ru-RU"/>
              </w:rPr>
            </w:pPr>
            <w:r w:rsidRPr="000478B4">
              <w:rPr>
                <w:rFonts w:eastAsia="Times New Roman"/>
                <w:color w:val="000000"/>
                <w:sz w:val="22"/>
                <w:szCs w:val="22"/>
                <w:lang w:val="en-US" w:eastAsia="ru-RU"/>
              </w:rPr>
              <w:t xml:space="preserve">Bank assets growth rate </w:t>
            </w:r>
          </w:p>
        </w:tc>
        <w:tc>
          <w:tcPr>
            <w:tcW w:w="1190" w:type="dxa"/>
            <w:shd w:val="clear" w:color="auto" w:fill="auto"/>
            <w:vAlign w:val="center"/>
          </w:tcPr>
          <w:p w:rsidR="00DE0EC8" w:rsidRPr="000478B4" w:rsidRDefault="00DE0EC8" w:rsidP="000478B4">
            <w:pPr>
              <w:jc w:val="center"/>
              <w:rPr>
                <w:rFonts w:eastAsia="Calibri"/>
                <w:bCs/>
                <w:color w:val="000000"/>
                <w:sz w:val="22"/>
                <w:szCs w:val="22"/>
                <w:lang w:val="en-US"/>
              </w:rPr>
            </w:pPr>
            <w:r w:rsidRPr="000478B4">
              <w:rPr>
                <w:rFonts w:eastAsia="Calibri"/>
                <w:bCs/>
                <w:color w:val="000000"/>
                <w:sz w:val="22"/>
                <w:szCs w:val="22"/>
                <w:lang w:val="en-US"/>
              </w:rPr>
              <w:t>-4</w:t>
            </w:r>
            <w:r w:rsidR="0048150C" w:rsidRPr="000478B4">
              <w:rPr>
                <w:rFonts w:eastAsia="Calibri"/>
                <w:bCs/>
                <w:color w:val="000000"/>
                <w:sz w:val="22"/>
                <w:szCs w:val="22"/>
                <w:lang w:val="en-US"/>
              </w:rPr>
              <w:t>.</w:t>
            </w:r>
            <w:r w:rsidRPr="000478B4">
              <w:rPr>
                <w:rFonts w:eastAsia="Calibri"/>
                <w:bCs/>
                <w:color w:val="000000"/>
                <w:sz w:val="22"/>
                <w:szCs w:val="22"/>
                <w:lang w:val="en-US"/>
              </w:rPr>
              <w:t>7</w:t>
            </w:r>
          </w:p>
        </w:tc>
        <w:tc>
          <w:tcPr>
            <w:tcW w:w="1190" w:type="dxa"/>
            <w:shd w:val="clear" w:color="auto" w:fill="auto"/>
            <w:vAlign w:val="center"/>
          </w:tcPr>
          <w:p w:rsidR="00DE0EC8" w:rsidRPr="000478B4" w:rsidRDefault="00DE0EC8" w:rsidP="000478B4">
            <w:pPr>
              <w:jc w:val="center"/>
              <w:rPr>
                <w:rFonts w:eastAsia="Calibri"/>
                <w:bCs/>
                <w:color w:val="000000"/>
                <w:sz w:val="22"/>
                <w:szCs w:val="22"/>
                <w:lang w:val="en-US"/>
              </w:rPr>
            </w:pPr>
            <w:r w:rsidRPr="000478B4">
              <w:rPr>
                <w:rFonts w:eastAsia="Calibri"/>
                <w:bCs/>
                <w:color w:val="000000"/>
                <w:sz w:val="22"/>
                <w:szCs w:val="22"/>
                <w:lang w:val="en-US"/>
              </w:rPr>
              <w:t>0</w:t>
            </w:r>
            <w:r w:rsidR="0048150C" w:rsidRPr="000478B4">
              <w:rPr>
                <w:rFonts w:eastAsia="Calibri"/>
                <w:bCs/>
                <w:color w:val="000000"/>
                <w:sz w:val="22"/>
                <w:szCs w:val="22"/>
                <w:lang w:val="en-US"/>
              </w:rPr>
              <w:t>.</w:t>
            </w:r>
            <w:r w:rsidRPr="000478B4">
              <w:rPr>
                <w:rFonts w:eastAsia="Calibri"/>
                <w:bCs/>
                <w:color w:val="000000"/>
                <w:sz w:val="22"/>
                <w:szCs w:val="22"/>
                <w:lang w:val="en-US"/>
              </w:rPr>
              <w:t>2</w:t>
            </w:r>
          </w:p>
        </w:tc>
        <w:tc>
          <w:tcPr>
            <w:tcW w:w="1190" w:type="dxa"/>
            <w:shd w:val="clear" w:color="auto" w:fill="auto"/>
            <w:vAlign w:val="center"/>
          </w:tcPr>
          <w:p w:rsidR="00DE0EC8" w:rsidRPr="000478B4" w:rsidRDefault="00DE0EC8" w:rsidP="000478B4">
            <w:pPr>
              <w:jc w:val="center"/>
              <w:rPr>
                <w:rFonts w:eastAsia="Calibri"/>
                <w:bCs/>
                <w:color w:val="000000"/>
                <w:sz w:val="22"/>
                <w:szCs w:val="22"/>
                <w:lang w:val="en-US"/>
              </w:rPr>
            </w:pPr>
            <w:r w:rsidRPr="000478B4">
              <w:rPr>
                <w:rFonts w:eastAsia="Calibri"/>
                <w:bCs/>
                <w:color w:val="000000"/>
                <w:sz w:val="22"/>
                <w:szCs w:val="22"/>
                <w:lang w:val="en-US"/>
              </w:rPr>
              <w:t>6</w:t>
            </w:r>
            <w:r w:rsidR="0048150C" w:rsidRPr="000478B4">
              <w:rPr>
                <w:rFonts w:eastAsia="Calibri"/>
                <w:bCs/>
                <w:color w:val="000000"/>
                <w:sz w:val="22"/>
                <w:szCs w:val="22"/>
                <w:lang w:val="en-US"/>
              </w:rPr>
              <w:t>.</w:t>
            </w:r>
            <w:r w:rsidRPr="000478B4">
              <w:rPr>
                <w:rFonts w:eastAsia="Calibri"/>
                <w:bCs/>
                <w:color w:val="000000"/>
                <w:sz w:val="22"/>
                <w:szCs w:val="22"/>
                <w:lang w:val="en-US"/>
              </w:rPr>
              <w:t>2</w:t>
            </w:r>
          </w:p>
        </w:tc>
        <w:tc>
          <w:tcPr>
            <w:tcW w:w="1190" w:type="dxa"/>
            <w:shd w:val="clear" w:color="auto" w:fill="auto"/>
            <w:vAlign w:val="center"/>
          </w:tcPr>
          <w:p w:rsidR="00DE0EC8" w:rsidRPr="000478B4" w:rsidRDefault="00DE0EC8" w:rsidP="000478B4">
            <w:pPr>
              <w:jc w:val="center"/>
              <w:rPr>
                <w:rFonts w:eastAsia="Calibri"/>
                <w:bCs/>
                <w:color w:val="000000"/>
                <w:sz w:val="22"/>
                <w:szCs w:val="22"/>
                <w:lang w:val="en-US"/>
              </w:rPr>
            </w:pPr>
            <w:r w:rsidRPr="000478B4">
              <w:rPr>
                <w:rFonts w:eastAsia="Calibri"/>
                <w:bCs/>
                <w:color w:val="000000"/>
                <w:sz w:val="22"/>
                <w:szCs w:val="22"/>
                <w:lang w:val="en-US"/>
              </w:rPr>
              <w:t>1</w:t>
            </w:r>
            <w:r w:rsidR="0048150C" w:rsidRPr="000478B4">
              <w:rPr>
                <w:rFonts w:eastAsia="Calibri"/>
                <w:bCs/>
                <w:color w:val="000000"/>
                <w:sz w:val="22"/>
                <w:szCs w:val="22"/>
                <w:lang w:val="en-US"/>
              </w:rPr>
              <w:t>.</w:t>
            </w:r>
            <w:r w:rsidRPr="000478B4">
              <w:rPr>
                <w:rFonts w:eastAsia="Calibri"/>
                <w:bCs/>
                <w:color w:val="000000"/>
                <w:sz w:val="22"/>
                <w:szCs w:val="22"/>
                <w:lang w:val="en-US"/>
              </w:rPr>
              <w:t>9</w:t>
            </w:r>
          </w:p>
        </w:tc>
        <w:tc>
          <w:tcPr>
            <w:tcW w:w="1190" w:type="dxa"/>
            <w:shd w:val="clear" w:color="auto" w:fill="auto"/>
            <w:vAlign w:val="center"/>
          </w:tcPr>
          <w:p w:rsidR="00DE0EC8" w:rsidRPr="000478B4" w:rsidRDefault="00DE0EC8" w:rsidP="000478B4">
            <w:pPr>
              <w:jc w:val="center"/>
              <w:rPr>
                <w:rFonts w:eastAsia="Calibri"/>
                <w:bCs/>
                <w:color w:val="000000"/>
                <w:sz w:val="22"/>
                <w:szCs w:val="22"/>
                <w:lang w:val="en-US"/>
              </w:rPr>
            </w:pPr>
            <w:r w:rsidRPr="000478B4">
              <w:rPr>
                <w:rFonts w:eastAsia="Calibri"/>
                <w:bCs/>
                <w:color w:val="000000"/>
                <w:sz w:val="22"/>
                <w:szCs w:val="22"/>
                <w:lang w:val="en-US"/>
              </w:rPr>
              <w:t>9</w:t>
            </w:r>
            <w:r w:rsidR="0048150C" w:rsidRPr="000478B4">
              <w:rPr>
                <w:rFonts w:eastAsia="Calibri"/>
                <w:bCs/>
                <w:color w:val="000000"/>
                <w:sz w:val="22"/>
                <w:szCs w:val="22"/>
                <w:lang w:val="en-US"/>
              </w:rPr>
              <w:t>.</w:t>
            </w:r>
            <w:r w:rsidRPr="000478B4">
              <w:rPr>
                <w:rFonts w:eastAsia="Calibri"/>
                <w:bCs/>
                <w:color w:val="000000"/>
                <w:sz w:val="22"/>
                <w:szCs w:val="22"/>
                <w:lang w:val="en-US"/>
              </w:rPr>
              <w:t>8</w:t>
            </w:r>
          </w:p>
        </w:tc>
      </w:tr>
      <w:tr w:rsidR="00DE0EC8" w:rsidRPr="000478B4" w:rsidTr="006E6CED">
        <w:trPr>
          <w:jc w:val="center"/>
        </w:trPr>
        <w:tc>
          <w:tcPr>
            <w:tcW w:w="3122" w:type="dxa"/>
          </w:tcPr>
          <w:p w:rsidR="00DE0EC8" w:rsidRPr="000478B4" w:rsidRDefault="00280D42" w:rsidP="000478B4">
            <w:pPr>
              <w:tabs>
                <w:tab w:val="left" w:pos="284"/>
              </w:tabs>
              <w:jc w:val="left"/>
              <w:rPr>
                <w:rFonts w:eastAsia="Times New Roman"/>
                <w:color w:val="000000"/>
                <w:sz w:val="22"/>
                <w:szCs w:val="22"/>
                <w:lang w:val="en-US" w:eastAsia="ru-RU"/>
              </w:rPr>
            </w:pPr>
            <w:r w:rsidRPr="000478B4">
              <w:rPr>
                <w:rFonts w:eastAsia="Times New Roman"/>
                <w:color w:val="000000"/>
                <w:sz w:val="22"/>
                <w:szCs w:val="22"/>
                <w:lang w:val="en-US" w:eastAsia="ru-RU"/>
              </w:rPr>
              <w:t>Bank loans</w:t>
            </w:r>
            <w:r w:rsidR="00612229" w:rsidRPr="000478B4">
              <w:rPr>
                <w:rFonts w:eastAsia="Times New Roman"/>
                <w:color w:val="000000"/>
                <w:sz w:val="22"/>
                <w:szCs w:val="22"/>
                <w:lang w:val="en-US" w:eastAsia="ru-RU"/>
              </w:rPr>
              <w:t xml:space="preserve"> </w:t>
            </w:r>
            <w:r w:rsidRPr="000478B4">
              <w:rPr>
                <w:rFonts w:eastAsia="Times New Roman"/>
                <w:color w:val="000000"/>
                <w:sz w:val="22"/>
                <w:szCs w:val="22"/>
                <w:lang w:val="en-US" w:eastAsia="ru-RU"/>
              </w:rPr>
              <w:t xml:space="preserve">growth rate </w:t>
            </w:r>
          </w:p>
        </w:tc>
        <w:tc>
          <w:tcPr>
            <w:tcW w:w="1190" w:type="dxa"/>
            <w:shd w:val="clear" w:color="auto" w:fill="auto"/>
            <w:vAlign w:val="center"/>
          </w:tcPr>
          <w:p w:rsidR="00DE0EC8" w:rsidRPr="000478B4" w:rsidRDefault="00DE0EC8" w:rsidP="000478B4">
            <w:pPr>
              <w:jc w:val="center"/>
              <w:rPr>
                <w:rFonts w:eastAsia="Calibri"/>
                <w:bCs/>
                <w:color w:val="000000"/>
                <w:sz w:val="22"/>
                <w:szCs w:val="22"/>
                <w:lang w:val="en-US"/>
              </w:rPr>
            </w:pPr>
            <w:r w:rsidRPr="000478B4">
              <w:rPr>
                <w:rFonts w:eastAsia="Calibri"/>
                <w:bCs/>
                <w:color w:val="000000"/>
                <w:sz w:val="22"/>
                <w:szCs w:val="22"/>
                <w:lang w:val="en-US"/>
              </w:rPr>
              <w:t>0</w:t>
            </w:r>
            <w:r w:rsidR="0048150C" w:rsidRPr="000478B4">
              <w:rPr>
                <w:rFonts w:eastAsia="Calibri"/>
                <w:bCs/>
                <w:color w:val="000000"/>
                <w:sz w:val="22"/>
                <w:szCs w:val="22"/>
                <w:lang w:val="en-US"/>
              </w:rPr>
              <w:t>.</w:t>
            </w:r>
            <w:r w:rsidRPr="000478B4">
              <w:rPr>
                <w:rFonts w:eastAsia="Calibri"/>
                <w:bCs/>
                <w:color w:val="000000"/>
                <w:sz w:val="22"/>
                <w:szCs w:val="22"/>
                <w:lang w:val="en-US"/>
              </w:rPr>
              <w:t>3</w:t>
            </w:r>
          </w:p>
        </w:tc>
        <w:tc>
          <w:tcPr>
            <w:tcW w:w="1190" w:type="dxa"/>
            <w:shd w:val="clear" w:color="auto" w:fill="auto"/>
            <w:vAlign w:val="center"/>
          </w:tcPr>
          <w:p w:rsidR="00DE0EC8" w:rsidRPr="000478B4" w:rsidRDefault="00DE0EC8" w:rsidP="000478B4">
            <w:pPr>
              <w:jc w:val="center"/>
              <w:rPr>
                <w:rFonts w:eastAsia="Calibri"/>
                <w:bCs/>
                <w:color w:val="000000"/>
                <w:sz w:val="22"/>
                <w:szCs w:val="22"/>
                <w:lang w:val="en-US"/>
              </w:rPr>
            </w:pPr>
            <w:r w:rsidRPr="000478B4">
              <w:rPr>
                <w:rFonts w:eastAsia="Calibri"/>
                <w:bCs/>
                <w:color w:val="000000"/>
                <w:sz w:val="22"/>
                <w:szCs w:val="22"/>
                <w:lang w:val="en-US"/>
              </w:rPr>
              <w:t>-0</w:t>
            </w:r>
            <w:r w:rsidR="0048150C" w:rsidRPr="000478B4">
              <w:rPr>
                <w:rFonts w:eastAsia="Calibri"/>
                <w:bCs/>
                <w:color w:val="000000"/>
                <w:sz w:val="22"/>
                <w:szCs w:val="22"/>
                <w:lang w:val="en-US"/>
              </w:rPr>
              <w:t>.</w:t>
            </w:r>
            <w:r w:rsidRPr="000478B4">
              <w:rPr>
                <w:rFonts w:eastAsia="Calibri"/>
                <w:bCs/>
                <w:color w:val="000000"/>
                <w:sz w:val="22"/>
                <w:szCs w:val="22"/>
                <w:lang w:val="en-US"/>
              </w:rPr>
              <w:t>4</w:t>
            </w:r>
          </w:p>
        </w:tc>
        <w:tc>
          <w:tcPr>
            <w:tcW w:w="1190" w:type="dxa"/>
            <w:shd w:val="clear" w:color="auto" w:fill="auto"/>
            <w:vAlign w:val="center"/>
          </w:tcPr>
          <w:p w:rsidR="00DE0EC8" w:rsidRPr="000478B4" w:rsidRDefault="00DE0EC8" w:rsidP="000478B4">
            <w:pPr>
              <w:jc w:val="center"/>
              <w:rPr>
                <w:rFonts w:eastAsia="Calibri"/>
                <w:bCs/>
                <w:color w:val="000000"/>
                <w:sz w:val="22"/>
                <w:szCs w:val="22"/>
                <w:lang w:val="en-US"/>
              </w:rPr>
            </w:pPr>
            <w:r w:rsidRPr="000478B4">
              <w:rPr>
                <w:rFonts w:eastAsia="Calibri"/>
                <w:bCs/>
                <w:color w:val="000000"/>
                <w:sz w:val="22"/>
                <w:szCs w:val="22"/>
                <w:lang w:val="en-US"/>
              </w:rPr>
              <w:t>3</w:t>
            </w:r>
            <w:r w:rsidR="0048150C" w:rsidRPr="000478B4">
              <w:rPr>
                <w:rFonts w:eastAsia="Calibri"/>
                <w:bCs/>
                <w:color w:val="000000"/>
                <w:sz w:val="22"/>
                <w:szCs w:val="22"/>
                <w:lang w:val="en-US"/>
              </w:rPr>
              <w:t>.</w:t>
            </w:r>
            <w:r w:rsidRPr="000478B4">
              <w:rPr>
                <w:rFonts w:eastAsia="Calibri"/>
                <w:bCs/>
                <w:color w:val="000000"/>
                <w:sz w:val="22"/>
                <w:szCs w:val="22"/>
                <w:lang w:val="en-US"/>
              </w:rPr>
              <w:t>1</w:t>
            </w:r>
          </w:p>
        </w:tc>
        <w:tc>
          <w:tcPr>
            <w:tcW w:w="1190" w:type="dxa"/>
            <w:shd w:val="clear" w:color="auto" w:fill="auto"/>
            <w:vAlign w:val="center"/>
          </w:tcPr>
          <w:p w:rsidR="00DE0EC8" w:rsidRPr="000478B4" w:rsidRDefault="00DE0EC8" w:rsidP="000478B4">
            <w:pPr>
              <w:jc w:val="center"/>
              <w:rPr>
                <w:rFonts w:eastAsia="Calibri"/>
                <w:bCs/>
                <w:color w:val="000000"/>
                <w:sz w:val="22"/>
                <w:szCs w:val="22"/>
                <w:lang w:val="en-US"/>
              </w:rPr>
            </w:pPr>
            <w:r w:rsidRPr="000478B4">
              <w:rPr>
                <w:rFonts w:eastAsia="Calibri"/>
                <w:bCs/>
                <w:color w:val="000000"/>
                <w:sz w:val="22"/>
                <w:szCs w:val="22"/>
                <w:lang w:val="en-US"/>
              </w:rPr>
              <w:t>7</w:t>
            </w:r>
            <w:r w:rsidR="0048150C" w:rsidRPr="000478B4">
              <w:rPr>
                <w:rFonts w:eastAsia="Calibri"/>
                <w:bCs/>
                <w:color w:val="000000"/>
                <w:sz w:val="22"/>
                <w:szCs w:val="22"/>
                <w:lang w:val="en-US"/>
              </w:rPr>
              <w:t>.</w:t>
            </w:r>
            <w:r w:rsidRPr="000478B4">
              <w:rPr>
                <w:rFonts w:eastAsia="Calibri"/>
                <w:bCs/>
                <w:color w:val="000000"/>
                <w:sz w:val="22"/>
                <w:szCs w:val="22"/>
                <w:lang w:val="en-US"/>
              </w:rPr>
              <w:t>9</w:t>
            </w:r>
          </w:p>
        </w:tc>
        <w:tc>
          <w:tcPr>
            <w:tcW w:w="1190" w:type="dxa"/>
            <w:shd w:val="clear" w:color="auto" w:fill="auto"/>
            <w:vAlign w:val="center"/>
          </w:tcPr>
          <w:p w:rsidR="00DE0EC8" w:rsidRPr="000478B4" w:rsidRDefault="00DE0EC8" w:rsidP="000478B4">
            <w:pPr>
              <w:jc w:val="center"/>
              <w:rPr>
                <w:rFonts w:eastAsia="Calibri"/>
                <w:bCs/>
                <w:color w:val="000000"/>
                <w:sz w:val="22"/>
                <w:szCs w:val="22"/>
                <w:lang w:val="en-US"/>
              </w:rPr>
            </w:pPr>
            <w:r w:rsidRPr="000478B4">
              <w:rPr>
                <w:rFonts w:eastAsia="Calibri"/>
                <w:bCs/>
                <w:color w:val="000000"/>
                <w:sz w:val="22"/>
                <w:szCs w:val="22"/>
                <w:lang w:val="en-US"/>
              </w:rPr>
              <w:t>-7</w:t>
            </w:r>
            <w:r w:rsidR="0048150C" w:rsidRPr="000478B4">
              <w:rPr>
                <w:rFonts w:eastAsia="Calibri"/>
                <w:bCs/>
                <w:color w:val="000000"/>
                <w:sz w:val="22"/>
                <w:szCs w:val="22"/>
                <w:lang w:val="en-US"/>
              </w:rPr>
              <w:t>.</w:t>
            </w:r>
            <w:r w:rsidRPr="000478B4">
              <w:rPr>
                <w:rFonts w:eastAsia="Calibri"/>
                <w:bCs/>
                <w:color w:val="000000"/>
                <w:sz w:val="22"/>
                <w:szCs w:val="22"/>
                <w:lang w:val="en-US"/>
              </w:rPr>
              <w:t>6</w:t>
            </w:r>
          </w:p>
        </w:tc>
      </w:tr>
      <w:tr w:rsidR="00DE0EC8" w:rsidRPr="000478B4" w:rsidTr="006E6CED">
        <w:trPr>
          <w:jc w:val="center"/>
        </w:trPr>
        <w:tc>
          <w:tcPr>
            <w:tcW w:w="3122" w:type="dxa"/>
          </w:tcPr>
          <w:p w:rsidR="00DE0EC8" w:rsidRPr="000478B4" w:rsidRDefault="00612229" w:rsidP="000478B4">
            <w:pPr>
              <w:tabs>
                <w:tab w:val="left" w:pos="284"/>
              </w:tabs>
              <w:jc w:val="left"/>
              <w:rPr>
                <w:rFonts w:eastAsia="Times New Roman"/>
                <w:color w:val="000000"/>
                <w:sz w:val="22"/>
                <w:szCs w:val="22"/>
                <w:lang w:val="en-US" w:eastAsia="ru-RU"/>
              </w:rPr>
            </w:pPr>
            <w:r w:rsidRPr="000478B4">
              <w:rPr>
                <w:rFonts w:eastAsia="Times New Roman"/>
                <w:color w:val="000000"/>
                <w:sz w:val="22"/>
                <w:szCs w:val="22"/>
                <w:lang w:val="en-US" w:eastAsia="ru-RU"/>
              </w:rPr>
              <w:t>Bank deposits g</w:t>
            </w:r>
            <w:r w:rsidR="00280D42" w:rsidRPr="000478B4">
              <w:rPr>
                <w:rFonts w:eastAsia="Times New Roman"/>
                <w:color w:val="000000"/>
                <w:sz w:val="22"/>
                <w:szCs w:val="22"/>
                <w:lang w:val="en-US" w:eastAsia="ru-RU"/>
              </w:rPr>
              <w:t xml:space="preserve">rowth rate </w:t>
            </w:r>
          </w:p>
        </w:tc>
        <w:tc>
          <w:tcPr>
            <w:tcW w:w="1190" w:type="dxa"/>
            <w:shd w:val="clear" w:color="auto" w:fill="auto"/>
            <w:vAlign w:val="center"/>
          </w:tcPr>
          <w:p w:rsidR="00DE0EC8" w:rsidRPr="000478B4" w:rsidRDefault="00DE0EC8" w:rsidP="000478B4">
            <w:pPr>
              <w:jc w:val="center"/>
              <w:rPr>
                <w:rFonts w:eastAsia="Calibri"/>
                <w:bCs/>
                <w:color w:val="000000"/>
                <w:sz w:val="22"/>
                <w:szCs w:val="22"/>
                <w:lang w:val="en-US"/>
              </w:rPr>
            </w:pPr>
            <w:r w:rsidRPr="000478B4">
              <w:rPr>
                <w:rFonts w:eastAsia="Calibri"/>
                <w:bCs/>
                <w:color w:val="000000"/>
                <w:sz w:val="22"/>
                <w:szCs w:val="22"/>
                <w:lang w:val="en-US"/>
              </w:rPr>
              <w:t>6</w:t>
            </w:r>
            <w:r w:rsidR="0048150C" w:rsidRPr="000478B4">
              <w:rPr>
                <w:rFonts w:eastAsia="Calibri"/>
                <w:bCs/>
                <w:color w:val="000000"/>
                <w:sz w:val="22"/>
                <w:szCs w:val="22"/>
                <w:lang w:val="en-US"/>
              </w:rPr>
              <w:t>.</w:t>
            </w:r>
            <w:r w:rsidRPr="000478B4">
              <w:rPr>
                <w:rFonts w:eastAsia="Calibri"/>
                <w:bCs/>
                <w:color w:val="000000"/>
                <w:sz w:val="22"/>
                <w:szCs w:val="22"/>
                <w:lang w:val="en-US"/>
              </w:rPr>
              <w:t>3</w:t>
            </w:r>
          </w:p>
        </w:tc>
        <w:tc>
          <w:tcPr>
            <w:tcW w:w="1190" w:type="dxa"/>
            <w:shd w:val="clear" w:color="auto" w:fill="auto"/>
            <w:vAlign w:val="center"/>
          </w:tcPr>
          <w:p w:rsidR="00DE0EC8" w:rsidRPr="000478B4" w:rsidRDefault="00DE0EC8" w:rsidP="000478B4">
            <w:pPr>
              <w:jc w:val="center"/>
              <w:rPr>
                <w:rFonts w:eastAsia="Calibri"/>
                <w:bCs/>
                <w:color w:val="000000"/>
                <w:sz w:val="22"/>
                <w:szCs w:val="22"/>
                <w:lang w:val="en-US"/>
              </w:rPr>
            </w:pPr>
            <w:r w:rsidRPr="000478B4">
              <w:rPr>
                <w:rFonts w:eastAsia="Calibri"/>
                <w:bCs/>
                <w:color w:val="000000"/>
                <w:sz w:val="22"/>
                <w:szCs w:val="22"/>
                <w:lang w:val="en-US"/>
              </w:rPr>
              <w:t>12</w:t>
            </w:r>
            <w:r w:rsidR="0048150C" w:rsidRPr="000478B4">
              <w:rPr>
                <w:rFonts w:eastAsia="Calibri"/>
                <w:bCs/>
                <w:color w:val="000000"/>
                <w:sz w:val="22"/>
                <w:szCs w:val="22"/>
                <w:lang w:val="en-US"/>
              </w:rPr>
              <w:t>.</w:t>
            </w:r>
            <w:r w:rsidRPr="000478B4">
              <w:rPr>
                <w:rFonts w:eastAsia="Calibri"/>
                <w:bCs/>
                <w:color w:val="000000"/>
                <w:sz w:val="22"/>
                <w:szCs w:val="22"/>
                <w:lang w:val="en-US"/>
              </w:rPr>
              <w:t>0</w:t>
            </w:r>
          </w:p>
        </w:tc>
        <w:tc>
          <w:tcPr>
            <w:tcW w:w="1190" w:type="dxa"/>
            <w:shd w:val="clear" w:color="auto" w:fill="auto"/>
            <w:vAlign w:val="center"/>
          </w:tcPr>
          <w:p w:rsidR="00DE0EC8" w:rsidRPr="000478B4" w:rsidRDefault="00DE0EC8" w:rsidP="000478B4">
            <w:pPr>
              <w:jc w:val="center"/>
              <w:rPr>
                <w:rFonts w:eastAsia="Calibri"/>
                <w:bCs/>
                <w:color w:val="000000"/>
                <w:sz w:val="22"/>
                <w:szCs w:val="22"/>
                <w:lang w:val="en-US"/>
              </w:rPr>
            </w:pPr>
            <w:r w:rsidRPr="000478B4">
              <w:rPr>
                <w:rFonts w:eastAsia="Calibri"/>
                <w:bCs/>
                <w:color w:val="000000"/>
                <w:sz w:val="22"/>
                <w:szCs w:val="22"/>
                <w:lang w:val="en-US"/>
              </w:rPr>
              <w:t>9</w:t>
            </w:r>
            <w:r w:rsidR="0048150C" w:rsidRPr="000478B4">
              <w:rPr>
                <w:rFonts w:eastAsia="Calibri"/>
                <w:bCs/>
                <w:color w:val="000000"/>
                <w:sz w:val="22"/>
                <w:szCs w:val="22"/>
                <w:lang w:val="en-US"/>
              </w:rPr>
              <w:t>.</w:t>
            </w:r>
            <w:r w:rsidRPr="000478B4">
              <w:rPr>
                <w:rFonts w:eastAsia="Calibri"/>
                <w:bCs/>
                <w:color w:val="000000"/>
                <w:sz w:val="22"/>
                <w:szCs w:val="22"/>
                <w:lang w:val="en-US"/>
              </w:rPr>
              <w:t>3</w:t>
            </w:r>
          </w:p>
        </w:tc>
        <w:tc>
          <w:tcPr>
            <w:tcW w:w="1190" w:type="dxa"/>
            <w:shd w:val="clear" w:color="auto" w:fill="auto"/>
            <w:vAlign w:val="center"/>
          </w:tcPr>
          <w:p w:rsidR="00DE0EC8" w:rsidRPr="000478B4" w:rsidRDefault="00DE0EC8" w:rsidP="000478B4">
            <w:pPr>
              <w:jc w:val="center"/>
              <w:rPr>
                <w:rFonts w:eastAsia="Calibri"/>
                <w:bCs/>
                <w:color w:val="000000"/>
                <w:sz w:val="22"/>
                <w:szCs w:val="22"/>
                <w:lang w:val="en-US"/>
              </w:rPr>
            </w:pPr>
            <w:r w:rsidRPr="000478B4">
              <w:rPr>
                <w:rFonts w:eastAsia="Calibri"/>
                <w:bCs/>
                <w:color w:val="000000"/>
                <w:sz w:val="22"/>
                <w:szCs w:val="22"/>
                <w:lang w:val="en-US"/>
              </w:rPr>
              <w:t>3</w:t>
            </w:r>
            <w:r w:rsidR="0048150C" w:rsidRPr="000478B4">
              <w:rPr>
                <w:rFonts w:eastAsia="Calibri"/>
                <w:bCs/>
                <w:color w:val="000000"/>
                <w:sz w:val="22"/>
                <w:szCs w:val="22"/>
                <w:lang w:val="en-US"/>
              </w:rPr>
              <w:t>.</w:t>
            </w:r>
            <w:r w:rsidRPr="000478B4">
              <w:rPr>
                <w:rFonts w:eastAsia="Calibri"/>
                <w:bCs/>
                <w:color w:val="000000"/>
                <w:sz w:val="22"/>
                <w:szCs w:val="22"/>
                <w:lang w:val="en-US"/>
              </w:rPr>
              <w:t>7</w:t>
            </w:r>
          </w:p>
        </w:tc>
        <w:tc>
          <w:tcPr>
            <w:tcW w:w="1190" w:type="dxa"/>
            <w:shd w:val="clear" w:color="auto" w:fill="auto"/>
            <w:vAlign w:val="center"/>
          </w:tcPr>
          <w:p w:rsidR="00DE0EC8" w:rsidRPr="000478B4" w:rsidRDefault="00DE0EC8" w:rsidP="000478B4">
            <w:pPr>
              <w:jc w:val="center"/>
              <w:rPr>
                <w:rFonts w:eastAsia="Calibri"/>
                <w:bCs/>
                <w:color w:val="000000"/>
                <w:sz w:val="22"/>
                <w:szCs w:val="22"/>
                <w:lang w:val="en-US"/>
              </w:rPr>
            </w:pPr>
            <w:r w:rsidRPr="000478B4">
              <w:rPr>
                <w:rFonts w:eastAsia="Calibri"/>
                <w:bCs/>
                <w:color w:val="000000"/>
                <w:sz w:val="22"/>
                <w:szCs w:val="22"/>
                <w:lang w:val="en-US"/>
              </w:rPr>
              <w:t>14</w:t>
            </w:r>
            <w:r w:rsidR="0048150C" w:rsidRPr="000478B4">
              <w:rPr>
                <w:rFonts w:eastAsia="Calibri"/>
                <w:bCs/>
                <w:color w:val="000000"/>
                <w:sz w:val="22"/>
                <w:szCs w:val="22"/>
                <w:lang w:val="en-US"/>
              </w:rPr>
              <w:t>.</w:t>
            </w:r>
            <w:r w:rsidRPr="000478B4">
              <w:rPr>
                <w:rFonts w:eastAsia="Calibri"/>
                <w:bCs/>
                <w:color w:val="000000"/>
                <w:sz w:val="22"/>
                <w:szCs w:val="22"/>
                <w:lang w:val="en-US"/>
              </w:rPr>
              <w:t>8</w:t>
            </w:r>
          </w:p>
        </w:tc>
      </w:tr>
      <w:tr w:rsidR="00280D42" w:rsidRPr="000478B4" w:rsidTr="006E6CED">
        <w:trPr>
          <w:jc w:val="center"/>
        </w:trPr>
        <w:tc>
          <w:tcPr>
            <w:tcW w:w="3122" w:type="dxa"/>
            <w:tcBorders>
              <w:top w:val="single" w:sz="4" w:space="0" w:color="auto"/>
              <w:left w:val="single" w:sz="4" w:space="0" w:color="auto"/>
              <w:bottom w:val="single" w:sz="4" w:space="0" w:color="auto"/>
              <w:right w:val="single" w:sz="4" w:space="0" w:color="auto"/>
            </w:tcBorders>
          </w:tcPr>
          <w:p w:rsidR="00280D42" w:rsidRPr="000478B4" w:rsidRDefault="00612229" w:rsidP="000478B4">
            <w:pPr>
              <w:tabs>
                <w:tab w:val="left" w:pos="284"/>
              </w:tabs>
              <w:jc w:val="left"/>
              <w:rPr>
                <w:rFonts w:eastAsia="Times New Roman"/>
                <w:color w:val="000000"/>
                <w:sz w:val="22"/>
                <w:szCs w:val="22"/>
                <w:lang w:val="en-US" w:eastAsia="ru-RU"/>
              </w:rPr>
            </w:pPr>
            <w:r w:rsidRPr="000478B4">
              <w:rPr>
                <w:rFonts w:eastAsia="Times New Roman"/>
                <w:color w:val="000000"/>
                <w:sz w:val="22"/>
                <w:szCs w:val="22"/>
                <w:lang w:val="en-US" w:eastAsia="ru-RU"/>
              </w:rPr>
              <w:t>Bank capital growth rate</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rsidR="00280D42" w:rsidRPr="000478B4" w:rsidRDefault="00280D42" w:rsidP="000478B4">
            <w:pPr>
              <w:jc w:val="center"/>
              <w:rPr>
                <w:rFonts w:eastAsia="Calibri"/>
                <w:bCs/>
                <w:color w:val="000000"/>
                <w:sz w:val="22"/>
                <w:szCs w:val="22"/>
                <w:lang w:val="en-US"/>
              </w:rPr>
            </w:pPr>
            <w:r w:rsidRPr="000478B4">
              <w:rPr>
                <w:rFonts w:eastAsia="Calibri"/>
                <w:bCs/>
                <w:color w:val="000000"/>
                <w:sz w:val="22"/>
                <w:szCs w:val="22"/>
                <w:lang w:val="en-US"/>
              </w:rPr>
              <w:t>-29</w:t>
            </w:r>
            <w:r w:rsidR="0048150C" w:rsidRPr="000478B4">
              <w:rPr>
                <w:rFonts w:eastAsia="Calibri"/>
                <w:bCs/>
                <w:color w:val="000000"/>
                <w:sz w:val="22"/>
                <w:szCs w:val="22"/>
                <w:lang w:val="en-US"/>
              </w:rPr>
              <w:t>.</w:t>
            </w:r>
            <w:r w:rsidRPr="000478B4">
              <w:rPr>
                <w:rFonts w:eastAsia="Calibri"/>
                <w:bCs/>
                <w:color w:val="000000"/>
                <w:sz w:val="22"/>
                <w:szCs w:val="22"/>
                <w:lang w:val="en-US"/>
              </w:rPr>
              <w:t>9</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rsidR="00280D42" w:rsidRPr="000478B4" w:rsidRDefault="00280D42" w:rsidP="000478B4">
            <w:pPr>
              <w:jc w:val="center"/>
              <w:rPr>
                <w:rFonts w:eastAsia="Calibri"/>
                <w:bCs/>
                <w:color w:val="000000"/>
                <w:sz w:val="22"/>
                <w:szCs w:val="22"/>
                <w:lang w:val="en-US"/>
              </w:rPr>
            </w:pPr>
            <w:r w:rsidRPr="000478B4">
              <w:rPr>
                <w:rFonts w:eastAsia="Calibri"/>
                <w:bCs/>
                <w:color w:val="000000"/>
                <w:sz w:val="22"/>
                <w:szCs w:val="22"/>
                <w:lang w:val="en-US"/>
              </w:rPr>
              <w:t>19</w:t>
            </w:r>
            <w:r w:rsidR="0048150C" w:rsidRPr="000478B4">
              <w:rPr>
                <w:rFonts w:eastAsia="Calibri"/>
                <w:bCs/>
                <w:color w:val="000000"/>
                <w:sz w:val="22"/>
                <w:szCs w:val="22"/>
                <w:lang w:val="en-US"/>
              </w:rPr>
              <w:t>.</w:t>
            </w:r>
            <w:r w:rsidRPr="000478B4">
              <w:rPr>
                <w:rFonts w:eastAsia="Calibri"/>
                <w:bCs/>
                <w:color w:val="000000"/>
                <w:sz w:val="22"/>
                <w:szCs w:val="22"/>
                <w:lang w:val="en-US"/>
              </w:rPr>
              <w:t>4</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rsidR="00280D42" w:rsidRPr="000478B4" w:rsidRDefault="00280D42" w:rsidP="000478B4">
            <w:pPr>
              <w:jc w:val="center"/>
              <w:rPr>
                <w:rFonts w:eastAsia="Calibri"/>
                <w:bCs/>
                <w:color w:val="000000"/>
                <w:sz w:val="22"/>
                <w:szCs w:val="22"/>
                <w:lang w:val="en-US"/>
              </w:rPr>
            </w:pPr>
            <w:r w:rsidRPr="000478B4">
              <w:rPr>
                <w:rFonts w:eastAsia="Calibri"/>
                <w:bCs/>
                <w:color w:val="000000"/>
                <w:sz w:val="22"/>
                <w:szCs w:val="22"/>
                <w:lang w:val="en-US"/>
              </w:rPr>
              <w:t>30</w:t>
            </w:r>
            <w:r w:rsidR="0048150C" w:rsidRPr="000478B4">
              <w:rPr>
                <w:rFonts w:eastAsia="Calibri"/>
                <w:bCs/>
                <w:color w:val="000000"/>
                <w:sz w:val="22"/>
                <w:szCs w:val="22"/>
                <w:lang w:val="en-US"/>
              </w:rPr>
              <w:t>.</w:t>
            </w:r>
            <w:r w:rsidRPr="000478B4">
              <w:rPr>
                <w:rFonts w:eastAsia="Calibri"/>
                <w:bCs/>
                <w:color w:val="000000"/>
                <w:sz w:val="22"/>
                <w:szCs w:val="22"/>
                <w:lang w:val="en-US"/>
              </w:rPr>
              <w:t>2</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rsidR="00280D42" w:rsidRPr="000478B4" w:rsidRDefault="00280D42" w:rsidP="000478B4">
            <w:pPr>
              <w:jc w:val="center"/>
              <w:rPr>
                <w:rFonts w:eastAsia="Calibri"/>
                <w:bCs/>
                <w:color w:val="000000"/>
                <w:sz w:val="22"/>
                <w:szCs w:val="22"/>
                <w:lang w:val="en-US"/>
              </w:rPr>
            </w:pPr>
            <w:r w:rsidRPr="000478B4">
              <w:rPr>
                <w:rFonts w:eastAsia="Calibri"/>
                <w:bCs/>
                <w:color w:val="000000"/>
                <w:sz w:val="22"/>
                <w:szCs w:val="22"/>
                <w:lang w:val="en-US"/>
              </w:rPr>
              <w:t>-3</w:t>
            </w:r>
            <w:r w:rsidR="0048150C" w:rsidRPr="000478B4">
              <w:rPr>
                <w:rFonts w:eastAsia="Calibri"/>
                <w:bCs/>
                <w:color w:val="000000"/>
                <w:sz w:val="22"/>
                <w:szCs w:val="22"/>
                <w:lang w:val="en-US"/>
              </w:rPr>
              <w:t>.</w:t>
            </w:r>
            <w:r w:rsidRPr="000478B4">
              <w:rPr>
                <w:rFonts w:eastAsia="Calibri"/>
                <w:bCs/>
                <w:color w:val="000000"/>
                <w:sz w:val="22"/>
                <w:szCs w:val="22"/>
                <w:lang w:val="en-US"/>
              </w:rPr>
              <w:t>8</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rsidR="00280D42" w:rsidRPr="000478B4" w:rsidRDefault="00280D42" w:rsidP="000478B4">
            <w:pPr>
              <w:jc w:val="center"/>
              <w:rPr>
                <w:rFonts w:eastAsia="Calibri"/>
                <w:bCs/>
                <w:color w:val="000000"/>
                <w:sz w:val="22"/>
                <w:szCs w:val="22"/>
                <w:lang w:val="en-US"/>
              </w:rPr>
            </w:pPr>
            <w:r w:rsidRPr="000478B4">
              <w:rPr>
                <w:rFonts w:eastAsia="Calibri"/>
                <w:bCs/>
                <w:color w:val="000000"/>
                <w:sz w:val="22"/>
                <w:szCs w:val="22"/>
                <w:lang w:val="en-US"/>
              </w:rPr>
              <w:t>29</w:t>
            </w:r>
            <w:r w:rsidR="0048150C" w:rsidRPr="000478B4">
              <w:rPr>
                <w:rFonts w:eastAsia="Calibri"/>
                <w:bCs/>
                <w:color w:val="000000"/>
                <w:sz w:val="22"/>
                <w:szCs w:val="22"/>
                <w:lang w:val="en-US"/>
              </w:rPr>
              <w:t>.</w:t>
            </w:r>
            <w:r w:rsidRPr="000478B4">
              <w:rPr>
                <w:rFonts w:eastAsia="Calibri"/>
                <w:bCs/>
                <w:color w:val="000000"/>
                <w:sz w:val="22"/>
                <w:szCs w:val="22"/>
                <w:lang w:val="en-US"/>
              </w:rPr>
              <w:t>0</w:t>
            </w:r>
          </w:p>
        </w:tc>
      </w:tr>
    </w:tbl>
    <w:p w:rsidR="00DE0EC8" w:rsidRPr="000478B4" w:rsidRDefault="00DE0EC8" w:rsidP="000478B4">
      <w:pPr>
        <w:tabs>
          <w:tab w:val="left" w:pos="284"/>
        </w:tabs>
        <w:ind w:firstLine="709"/>
        <w:rPr>
          <w:rFonts w:eastAsia="Times New Roman"/>
          <w:i/>
          <w:sz w:val="20"/>
          <w:szCs w:val="20"/>
          <w:lang w:val="en-US" w:eastAsia="ru-RU"/>
        </w:rPr>
      </w:pPr>
      <w:r w:rsidRPr="000478B4">
        <w:rPr>
          <w:rFonts w:eastAsia="Times New Roman"/>
          <w:sz w:val="20"/>
          <w:szCs w:val="20"/>
          <w:lang w:val="en-US" w:eastAsia="ru-RU"/>
        </w:rPr>
        <w:t xml:space="preserve">* </w:t>
      </w:r>
      <w:r w:rsidR="001A1FB7" w:rsidRPr="000478B4">
        <w:rPr>
          <w:rFonts w:eastAsia="Times New Roman"/>
          <w:i/>
          <w:sz w:val="20"/>
          <w:szCs w:val="20"/>
          <w:lang w:val="en-US" w:eastAsia="ru-RU"/>
        </w:rPr>
        <w:t>C</w:t>
      </w:r>
      <w:r w:rsidR="001A1FB7" w:rsidRPr="000478B4">
        <w:rPr>
          <w:rFonts w:eastAsia="Calibri"/>
          <w:i/>
          <w:sz w:val="20"/>
          <w:szCs w:val="20"/>
          <w:lang w:val="en-US"/>
        </w:rPr>
        <w:t>hain growth rates</w:t>
      </w:r>
      <w:r w:rsidRPr="000478B4">
        <w:rPr>
          <w:rFonts w:eastAsia="Calibri"/>
          <w:i/>
          <w:sz w:val="20"/>
          <w:szCs w:val="20"/>
          <w:lang w:val="en-US"/>
        </w:rPr>
        <w:t>.</w:t>
      </w:r>
    </w:p>
    <w:p w:rsidR="00280D42" w:rsidRPr="000478B4" w:rsidRDefault="00280D42" w:rsidP="000478B4">
      <w:pPr>
        <w:ind w:firstLine="709"/>
        <w:contextualSpacing/>
        <w:rPr>
          <w:rFonts w:eastAsia="Calibri"/>
          <w:sz w:val="20"/>
          <w:szCs w:val="20"/>
          <w:lang w:val="en-US"/>
        </w:rPr>
      </w:pPr>
      <w:r w:rsidRPr="000478B4">
        <w:rPr>
          <w:rFonts w:eastAsia="Calibri"/>
          <w:i/>
          <w:sz w:val="20"/>
          <w:szCs w:val="20"/>
          <w:lang w:val="en-US"/>
        </w:rPr>
        <w:t xml:space="preserve">**Calculated according to the </w:t>
      </w:r>
      <w:r w:rsidR="00A922A6" w:rsidRPr="000478B4">
        <w:rPr>
          <w:rFonts w:eastAsia="Calibri"/>
          <w:i/>
          <w:sz w:val="20"/>
          <w:szCs w:val="20"/>
          <w:lang w:val="en-US"/>
        </w:rPr>
        <w:t xml:space="preserve">State Statistics Service of Ukraine and the </w:t>
      </w:r>
      <w:r w:rsidRPr="000478B4">
        <w:rPr>
          <w:rFonts w:eastAsia="Calibri"/>
          <w:i/>
          <w:sz w:val="20"/>
          <w:szCs w:val="20"/>
          <w:lang w:val="en-US"/>
        </w:rPr>
        <w:t>National Bank of Ukraine [</w:t>
      </w:r>
      <w:r w:rsidR="00B10C28" w:rsidRPr="000478B4">
        <w:rPr>
          <w:rFonts w:eastAsia="Calibri"/>
          <w:i/>
          <w:sz w:val="20"/>
          <w:szCs w:val="20"/>
        </w:rPr>
        <w:t>1</w:t>
      </w:r>
      <w:r w:rsidR="00163AE9" w:rsidRPr="000478B4">
        <w:rPr>
          <w:rFonts w:eastAsia="Calibri"/>
          <w:i/>
          <w:sz w:val="20"/>
          <w:szCs w:val="20"/>
        </w:rPr>
        <w:t>4</w:t>
      </w:r>
      <w:proofErr w:type="gramStart"/>
      <w:r w:rsidR="00A922A6" w:rsidRPr="000478B4">
        <w:rPr>
          <w:rFonts w:eastAsia="Calibri"/>
          <w:i/>
          <w:sz w:val="20"/>
          <w:szCs w:val="20"/>
          <w:lang w:val="en-US"/>
        </w:rPr>
        <w:t>;</w:t>
      </w:r>
      <w:r w:rsidR="00163AE9" w:rsidRPr="000478B4">
        <w:rPr>
          <w:rFonts w:eastAsia="Calibri"/>
          <w:i/>
          <w:sz w:val="20"/>
          <w:szCs w:val="20"/>
        </w:rPr>
        <w:t>10</w:t>
      </w:r>
      <w:proofErr w:type="gramEnd"/>
      <w:r w:rsidRPr="000478B4">
        <w:rPr>
          <w:rFonts w:eastAsia="Calibri"/>
          <w:i/>
          <w:sz w:val="20"/>
          <w:szCs w:val="20"/>
          <w:lang w:val="en-US"/>
        </w:rPr>
        <w:t>]</w:t>
      </w:r>
      <w:r w:rsidRPr="000478B4">
        <w:rPr>
          <w:rFonts w:eastAsia="Calibri"/>
          <w:sz w:val="20"/>
          <w:szCs w:val="20"/>
          <w:lang w:val="en-US"/>
        </w:rPr>
        <w:t>.</w:t>
      </w:r>
    </w:p>
    <w:p w:rsidR="00DE0EC8" w:rsidRPr="000478B4" w:rsidRDefault="00DE0EC8" w:rsidP="000478B4">
      <w:pPr>
        <w:ind w:firstLine="567"/>
        <w:contextualSpacing/>
        <w:rPr>
          <w:rFonts w:eastAsia="Calibri"/>
          <w:sz w:val="24"/>
          <w:szCs w:val="24"/>
          <w:lang w:val="en-US"/>
        </w:rPr>
      </w:pPr>
    </w:p>
    <w:p w:rsidR="007B1C54" w:rsidRPr="000478B4" w:rsidRDefault="007B1C54" w:rsidP="000478B4">
      <w:pPr>
        <w:ind w:firstLine="709"/>
        <w:contextualSpacing/>
        <w:rPr>
          <w:rFonts w:eastAsia="Calibri"/>
          <w:sz w:val="24"/>
          <w:szCs w:val="24"/>
          <w:lang w:val="en-US"/>
        </w:rPr>
      </w:pPr>
      <w:r w:rsidRPr="000478B4">
        <w:rPr>
          <w:rFonts w:eastAsia="Calibri"/>
          <w:sz w:val="24"/>
          <w:szCs w:val="24"/>
          <w:lang w:val="en-US"/>
        </w:rPr>
        <w:t>The calculated annual growth rates suggest that the following aspects of strengthening the financial stability of domestic banks are being identified:</w:t>
      </w:r>
    </w:p>
    <w:p w:rsidR="007B1C54" w:rsidRPr="000478B4" w:rsidRDefault="007B1C54" w:rsidP="000478B4">
      <w:pPr>
        <w:ind w:firstLine="709"/>
        <w:contextualSpacing/>
        <w:rPr>
          <w:rFonts w:eastAsia="Calibri"/>
          <w:sz w:val="24"/>
          <w:szCs w:val="24"/>
          <w:lang w:val="en-US"/>
        </w:rPr>
      </w:pPr>
      <w:r w:rsidRPr="000478B4">
        <w:rPr>
          <w:rFonts w:eastAsia="Calibri"/>
          <w:sz w:val="24"/>
          <w:szCs w:val="24"/>
          <w:lang w:val="en-US"/>
        </w:rPr>
        <w:t>– negative growth rates of bank loans indicate the absence of excessive lending, therefore, this threat is not inherent in the current development of the banking sector of Ukraine. However, it should be noted that the reduction in the growth rate of banks’ loan portfolios may have negative consequences in terms of efficient use of borrowed funds;</w:t>
      </w:r>
    </w:p>
    <w:p w:rsidR="007B1C54" w:rsidRPr="000478B4" w:rsidRDefault="007B1C54" w:rsidP="000478B4">
      <w:pPr>
        <w:ind w:firstLine="709"/>
        <w:contextualSpacing/>
        <w:rPr>
          <w:rFonts w:eastAsia="Calibri"/>
          <w:sz w:val="24"/>
          <w:szCs w:val="24"/>
          <w:lang w:val="en-US"/>
        </w:rPr>
      </w:pPr>
      <w:r w:rsidRPr="000478B4">
        <w:rPr>
          <w:rFonts w:eastAsia="Calibri"/>
          <w:sz w:val="24"/>
          <w:szCs w:val="24"/>
          <w:lang w:val="en-US"/>
        </w:rPr>
        <w:t>– increasing the growth rate of bank deposits proves a sufficient level of depositors’ confidence in the national banking system;</w:t>
      </w:r>
    </w:p>
    <w:p w:rsidR="007B1C54" w:rsidRPr="000478B4" w:rsidRDefault="00DE0EC8" w:rsidP="000478B4">
      <w:pPr>
        <w:ind w:firstLine="709"/>
        <w:contextualSpacing/>
        <w:rPr>
          <w:rFonts w:eastAsia="Calibri"/>
          <w:sz w:val="24"/>
          <w:szCs w:val="24"/>
          <w:lang w:val="en-US"/>
        </w:rPr>
      </w:pPr>
      <w:r w:rsidRPr="000478B4">
        <w:rPr>
          <w:rFonts w:eastAsia="Calibri"/>
          <w:sz w:val="24"/>
          <w:szCs w:val="24"/>
          <w:lang w:val="en-US"/>
        </w:rPr>
        <w:t xml:space="preserve">– </w:t>
      </w:r>
      <w:r w:rsidR="00DC4DDA" w:rsidRPr="000478B4">
        <w:rPr>
          <w:rFonts w:eastAsia="Calibri"/>
          <w:sz w:val="24"/>
          <w:szCs w:val="24"/>
          <w:lang w:val="en-US"/>
        </w:rPr>
        <w:t>sizeable</w:t>
      </w:r>
      <w:r w:rsidR="007B1C54" w:rsidRPr="000478B4">
        <w:rPr>
          <w:rFonts w:eastAsia="Calibri"/>
          <w:sz w:val="24"/>
          <w:szCs w:val="24"/>
          <w:lang w:val="en-US"/>
        </w:rPr>
        <w:t xml:space="preserve"> growth rate of equity indicates the growing capitalization of the banking sector, despite the </w:t>
      </w:r>
      <w:r w:rsidR="00DC4DDA" w:rsidRPr="000478B4">
        <w:rPr>
          <w:rFonts w:eastAsia="Calibri"/>
          <w:sz w:val="24"/>
          <w:szCs w:val="24"/>
          <w:lang w:val="en-US"/>
        </w:rPr>
        <w:t>considerable</w:t>
      </w:r>
      <w:r w:rsidR="007B1C54" w:rsidRPr="000478B4">
        <w:rPr>
          <w:rFonts w:eastAsia="Calibri"/>
          <w:sz w:val="24"/>
          <w:szCs w:val="24"/>
          <w:lang w:val="en-US"/>
        </w:rPr>
        <w:t xml:space="preserve"> amounts of accumulated uncovered losses of domestic banks, which were formed in previous crisis periods. The constant increase in </w:t>
      </w:r>
      <w:r w:rsidR="003C4A98" w:rsidRPr="000478B4">
        <w:rPr>
          <w:rFonts w:eastAsia="Calibri"/>
          <w:sz w:val="24"/>
          <w:szCs w:val="24"/>
          <w:lang w:val="en-US"/>
        </w:rPr>
        <w:t>the banking</w:t>
      </w:r>
      <w:r w:rsidR="007B1C54" w:rsidRPr="000478B4">
        <w:rPr>
          <w:rFonts w:eastAsia="Calibri"/>
          <w:sz w:val="24"/>
          <w:szCs w:val="24"/>
          <w:lang w:val="en-US"/>
        </w:rPr>
        <w:t xml:space="preserve"> capital is caused by the need </w:t>
      </w:r>
      <w:r w:rsidR="007B1C54" w:rsidRPr="000478B4">
        <w:rPr>
          <w:rFonts w:eastAsia="Calibri"/>
          <w:sz w:val="24"/>
          <w:szCs w:val="24"/>
          <w:lang w:val="en-US"/>
        </w:rPr>
        <w:lastRenderedPageBreak/>
        <w:t xml:space="preserve">to form an adequate </w:t>
      </w:r>
      <w:r w:rsidR="003C4A98" w:rsidRPr="000478B4">
        <w:rPr>
          <w:rFonts w:eastAsia="Calibri"/>
          <w:sz w:val="24"/>
          <w:szCs w:val="24"/>
          <w:lang w:val="en-US"/>
        </w:rPr>
        <w:t>“</w:t>
      </w:r>
      <w:r w:rsidR="007B1C54" w:rsidRPr="000478B4">
        <w:rPr>
          <w:rFonts w:eastAsia="Calibri"/>
          <w:sz w:val="24"/>
          <w:szCs w:val="24"/>
          <w:lang w:val="en-US"/>
        </w:rPr>
        <w:t>buffer of protection against risks</w:t>
      </w:r>
      <w:r w:rsidR="003C4A98" w:rsidRPr="000478B4">
        <w:rPr>
          <w:rFonts w:eastAsia="Calibri"/>
          <w:sz w:val="24"/>
          <w:szCs w:val="24"/>
          <w:lang w:val="en-US"/>
        </w:rPr>
        <w:t>”</w:t>
      </w:r>
      <w:r w:rsidR="007B1C54" w:rsidRPr="000478B4">
        <w:rPr>
          <w:rFonts w:eastAsia="Calibri"/>
          <w:sz w:val="24"/>
          <w:szCs w:val="24"/>
          <w:lang w:val="en-US"/>
        </w:rPr>
        <w:t xml:space="preserve"> and allows </w:t>
      </w:r>
      <w:r w:rsidR="003C4A98" w:rsidRPr="000478B4">
        <w:rPr>
          <w:rFonts w:eastAsia="Calibri"/>
          <w:sz w:val="24"/>
          <w:szCs w:val="24"/>
          <w:lang w:val="en-US"/>
        </w:rPr>
        <w:t>improving</w:t>
      </w:r>
      <w:r w:rsidR="007B1C54" w:rsidRPr="000478B4">
        <w:rPr>
          <w:rFonts w:eastAsia="Calibri"/>
          <w:sz w:val="24"/>
          <w:szCs w:val="24"/>
          <w:lang w:val="en-US"/>
        </w:rPr>
        <w:t xml:space="preserve"> the financial stability of the banking sector.</w:t>
      </w:r>
    </w:p>
    <w:p w:rsidR="00BA42F6" w:rsidRPr="000478B4" w:rsidRDefault="007B1C54" w:rsidP="000478B4">
      <w:pPr>
        <w:ind w:firstLine="709"/>
        <w:contextualSpacing/>
        <w:rPr>
          <w:rFonts w:eastAsia="Calibri"/>
          <w:sz w:val="24"/>
          <w:szCs w:val="24"/>
        </w:rPr>
      </w:pPr>
      <w:r w:rsidRPr="000478B4">
        <w:rPr>
          <w:rFonts w:eastAsia="Calibri"/>
          <w:sz w:val="24"/>
          <w:szCs w:val="24"/>
          <w:lang w:val="en-US"/>
        </w:rPr>
        <w:t xml:space="preserve">Thus, </w:t>
      </w:r>
      <w:r w:rsidR="00172F72" w:rsidRPr="000478B4">
        <w:rPr>
          <w:rFonts w:eastAsia="Calibri"/>
          <w:sz w:val="24"/>
          <w:szCs w:val="24"/>
          <w:lang w:val="en-US"/>
        </w:rPr>
        <w:t xml:space="preserve">capital stability and capital adequacy are </w:t>
      </w:r>
      <w:r w:rsidRPr="000478B4">
        <w:rPr>
          <w:rFonts w:eastAsia="Calibri"/>
          <w:sz w:val="24"/>
          <w:szCs w:val="24"/>
          <w:lang w:val="en-US"/>
        </w:rPr>
        <w:t xml:space="preserve">the most important </w:t>
      </w:r>
      <w:r w:rsidR="00172F72" w:rsidRPr="000478B4">
        <w:rPr>
          <w:rFonts w:eastAsia="Calibri"/>
          <w:sz w:val="24"/>
          <w:szCs w:val="24"/>
          <w:lang w:val="en-US"/>
        </w:rPr>
        <w:t xml:space="preserve">financial stability </w:t>
      </w:r>
      <w:r w:rsidRPr="000478B4">
        <w:rPr>
          <w:rFonts w:eastAsia="Calibri"/>
          <w:sz w:val="24"/>
          <w:szCs w:val="24"/>
          <w:lang w:val="en-US"/>
        </w:rPr>
        <w:t xml:space="preserve">indicators of </w:t>
      </w:r>
      <w:r w:rsidR="00172F72" w:rsidRPr="000478B4">
        <w:rPr>
          <w:rFonts w:eastAsia="Calibri"/>
          <w:sz w:val="24"/>
          <w:szCs w:val="24"/>
          <w:lang w:val="en-US"/>
        </w:rPr>
        <w:t>the</w:t>
      </w:r>
      <w:r w:rsidRPr="000478B4">
        <w:rPr>
          <w:rFonts w:eastAsia="Calibri"/>
          <w:sz w:val="24"/>
          <w:szCs w:val="24"/>
          <w:lang w:val="en-US"/>
        </w:rPr>
        <w:t xml:space="preserve"> banks </w:t>
      </w:r>
      <w:r w:rsidR="00163AE9" w:rsidRPr="000478B4">
        <w:rPr>
          <w:rFonts w:eastAsia="Calibri"/>
          <w:sz w:val="24"/>
          <w:szCs w:val="24"/>
          <w:lang w:val="en-US"/>
        </w:rPr>
        <w:t>[</w:t>
      </w:r>
      <w:r w:rsidR="00163AE9" w:rsidRPr="000478B4">
        <w:rPr>
          <w:rFonts w:eastAsia="Calibri"/>
          <w:sz w:val="24"/>
          <w:szCs w:val="24"/>
        </w:rPr>
        <w:t>15</w:t>
      </w:r>
      <w:r w:rsidR="00163AE9" w:rsidRPr="000478B4">
        <w:rPr>
          <w:rFonts w:eastAsia="Calibri"/>
          <w:sz w:val="24"/>
          <w:szCs w:val="24"/>
          <w:lang w:val="en-US"/>
        </w:rPr>
        <w:t xml:space="preserve">] </w:t>
      </w:r>
      <w:r w:rsidRPr="000478B4">
        <w:rPr>
          <w:rFonts w:eastAsia="Calibri"/>
          <w:sz w:val="24"/>
          <w:szCs w:val="24"/>
          <w:lang w:val="en-US"/>
        </w:rPr>
        <w:t>(Fig</w:t>
      </w:r>
      <w:r w:rsidR="003C4A98" w:rsidRPr="000478B4">
        <w:rPr>
          <w:rFonts w:eastAsia="Calibri"/>
          <w:sz w:val="24"/>
          <w:szCs w:val="24"/>
          <w:lang w:val="en-US"/>
        </w:rPr>
        <w:t>ure</w:t>
      </w:r>
      <w:r w:rsidRPr="000478B4">
        <w:rPr>
          <w:rFonts w:eastAsia="Calibri"/>
          <w:sz w:val="24"/>
          <w:szCs w:val="24"/>
          <w:lang w:val="en-US"/>
        </w:rPr>
        <w:t xml:space="preserve"> 3).</w:t>
      </w:r>
    </w:p>
    <w:p w:rsidR="006B09E0" w:rsidRPr="000478B4" w:rsidRDefault="006B09E0" w:rsidP="000478B4">
      <w:pPr>
        <w:contextualSpacing/>
        <w:jc w:val="center"/>
        <w:rPr>
          <w:rFonts w:eastAsia="Calibri"/>
          <w:sz w:val="24"/>
          <w:szCs w:val="24"/>
        </w:rPr>
      </w:pPr>
      <w:r w:rsidRPr="000478B4">
        <w:rPr>
          <w:noProof/>
          <w:sz w:val="24"/>
          <w:szCs w:val="24"/>
          <w:lang w:val="ru-RU" w:eastAsia="ru-RU"/>
        </w:rPr>
        <w:drawing>
          <wp:inline distT="0" distB="0" distL="0" distR="0" wp14:anchorId="6EFAD7CD" wp14:editId="2835BC99">
            <wp:extent cx="5759450" cy="3189117"/>
            <wp:effectExtent l="0" t="0" r="0" b="0"/>
            <wp:docPr id="4"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A42F6" w:rsidRPr="000478B4" w:rsidRDefault="0086085C" w:rsidP="000478B4">
      <w:pPr>
        <w:contextualSpacing/>
        <w:jc w:val="center"/>
        <w:rPr>
          <w:rFonts w:eastAsia="Calibri"/>
          <w:b/>
          <w:sz w:val="24"/>
          <w:szCs w:val="24"/>
          <w:lang w:val="en-US"/>
        </w:rPr>
      </w:pPr>
      <w:proofErr w:type="gramStart"/>
      <w:r w:rsidRPr="000478B4">
        <w:rPr>
          <w:rFonts w:eastAsia="Calibri"/>
          <w:b/>
          <w:sz w:val="24"/>
          <w:szCs w:val="24"/>
          <w:lang w:val="en-US"/>
        </w:rPr>
        <w:t>Fig</w:t>
      </w:r>
      <w:r w:rsidR="000478B4">
        <w:rPr>
          <w:rFonts w:eastAsia="Calibri"/>
          <w:b/>
          <w:sz w:val="24"/>
          <w:szCs w:val="24"/>
          <w:lang w:val="en-US"/>
        </w:rPr>
        <w:t>.</w:t>
      </w:r>
      <w:r w:rsidR="00BA42F6" w:rsidRPr="000478B4">
        <w:rPr>
          <w:rFonts w:eastAsia="Calibri"/>
          <w:b/>
          <w:sz w:val="24"/>
          <w:szCs w:val="24"/>
          <w:lang w:val="en-US"/>
        </w:rPr>
        <w:t xml:space="preserve"> </w:t>
      </w:r>
      <w:r w:rsidR="00D17ADB" w:rsidRPr="000478B4">
        <w:rPr>
          <w:rFonts w:eastAsia="Calibri"/>
          <w:b/>
          <w:sz w:val="24"/>
          <w:szCs w:val="24"/>
          <w:lang w:val="en-US"/>
        </w:rPr>
        <w:t>3</w:t>
      </w:r>
      <w:r w:rsidR="00BA42F6" w:rsidRPr="000478B4">
        <w:rPr>
          <w:rFonts w:eastAsia="Calibri"/>
          <w:b/>
          <w:sz w:val="24"/>
          <w:szCs w:val="24"/>
          <w:lang w:val="en-US"/>
        </w:rPr>
        <w:t>.</w:t>
      </w:r>
      <w:proofErr w:type="gramEnd"/>
      <w:r w:rsidR="00BA42F6" w:rsidRPr="000478B4">
        <w:rPr>
          <w:rFonts w:eastAsia="Calibri"/>
          <w:b/>
          <w:sz w:val="24"/>
          <w:szCs w:val="24"/>
          <w:lang w:val="en-US"/>
        </w:rPr>
        <w:t xml:space="preserve"> </w:t>
      </w:r>
      <w:r w:rsidRPr="000478B4">
        <w:rPr>
          <w:rFonts w:eastAsia="Calibri"/>
          <w:b/>
          <w:sz w:val="24"/>
          <w:szCs w:val="24"/>
          <w:lang w:val="en-US"/>
        </w:rPr>
        <w:t>Dynamics of the main indicators of the Ukrainian banks’ capitalization</w:t>
      </w:r>
    </w:p>
    <w:p w:rsidR="00BA42F6" w:rsidRPr="000478B4" w:rsidRDefault="00BA42F6" w:rsidP="000478B4">
      <w:pPr>
        <w:ind w:firstLine="709"/>
        <w:rPr>
          <w:rFonts w:eastAsia="Calibri"/>
          <w:sz w:val="20"/>
          <w:szCs w:val="20"/>
          <w:lang w:val="en-US"/>
        </w:rPr>
      </w:pPr>
      <w:r w:rsidRPr="000478B4">
        <w:rPr>
          <w:rFonts w:eastAsia="Calibri"/>
          <w:sz w:val="20"/>
          <w:szCs w:val="20"/>
          <w:lang w:val="en-US"/>
        </w:rPr>
        <w:t xml:space="preserve">* </w:t>
      </w:r>
      <w:r w:rsidR="00E93B86" w:rsidRPr="000478B4">
        <w:rPr>
          <w:rFonts w:eastAsia="Calibri"/>
          <w:i/>
          <w:sz w:val="20"/>
          <w:szCs w:val="20"/>
          <w:lang w:val="en-US"/>
        </w:rPr>
        <w:t>Tier I capital adequacy ratio (</w:t>
      </w:r>
      <w:r w:rsidR="006B09E0" w:rsidRPr="000478B4">
        <w:rPr>
          <w:rFonts w:eastAsia="Calibri"/>
          <w:i/>
          <w:sz w:val="20"/>
          <w:szCs w:val="20"/>
          <w:lang w:val="en-US"/>
        </w:rPr>
        <w:t>N</w:t>
      </w:r>
      <w:r w:rsidR="00E93B86" w:rsidRPr="000478B4">
        <w:rPr>
          <w:rFonts w:eastAsia="Calibri"/>
          <w:i/>
          <w:sz w:val="20"/>
          <w:szCs w:val="20"/>
          <w:lang w:val="en-US"/>
        </w:rPr>
        <w:t>3) began to be calculated</w:t>
      </w:r>
      <w:r w:rsidR="003C4A98" w:rsidRPr="000478B4">
        <w:rPr>
          <w:rFonts w:eastAsia="Calibri"/>
          <w:i/>
          <w:sz w:val="20"/>
          <w:szCs w:val="20"/>
          <w:lang w:val="en-US"/>
        </w:rPr>
        <w:t xml:space="preserve"> </w:t>
      </w:r>
      <w:r w:rsidR="00E93B86" w:rsidRPr="000478B4">
        <w:rPr>
          <w:rFonts w:eastAsia="Calibri"/>
          <w:i/>
          <w:sz w:val="20"/>
          <w:szCs w:val="20"/>
          <w:lang w:val="en-US"/>
        </w:rPr>
        <w:t>on February 1, 2019.</w:t>
      </w:r>
    </w:p>
    <w:p w:rsidR="00BA42F6" w:rsidRPr="000478B4" w:rsidRDefault="003C4A98" w:rsidP="000478B4">
      <w:pPr>
        <w:ind w:firstLine="709"/>
        <w:rPr>
          <w:rFonts w:eastAsia="Calibri"/>
          <w:i/>
          <w:sz w:val="20"/>
          <w:szCs w:val="20"/>
          <w:lang w:val="en-US"/>
        </w:rPr>
      </w:pPr>
      <w:r w:rsidRPr="000478B4">
        <w:rPr>
          <w:rFonts w:eastAsia="Calibri"/>
          <w:i/>
          <w:sz w:val="20"/>
          <w:szCs w:val="20"/>
          <w:lang w:val="en-US"/>
        </w:rPr>
        <w:t>**</w:t>
      </w:r>
      <w:r w:rsidR="00E93B86" w:rsidRPr="000478B4">
        <w:rPr>
          <w:rFonts w:eastAsia="Calibri"/>
          <w:i/>
          <w:sz w:val="20"/>
          <w:szCs w:val="20"/>
          <w:lang w:val="en-US"/>
        </w:rPr>
        <w:t xml:space="preserve">Complied according to the National Bank of Ukraine </w:t>
      </w:r>
      <w:r w:rsidR="00BA42F6" w:rsidRPr="000478B4">
        <w:rPr>
          <w:rFonts w:eastAsia="Calibri"/>
          <w:i/>
          <w:sz w:val="20"/>
          <w:szCs w:val="20"/>
          <w:lang w:val="en-US"/>
        </w:rPr>
        <w:t>[</w:t>
      </w:r>
      <w:r w:rsidR="00163AE9" w:rsidRPr="000478B4">
        <w:rPr>
          <w:rFonts w:eastAsia="Calibri"/>
          <w:i/>
          <w:sz w:val="20"/>
          <w:szCs w:val="20"/>
        </w:rPr>
        <w:t>10</w:t>
      </w:r>
      <w:proofErr w:type="gramStart"/>
      <w:r w:rsidR="00A922A6" w:rsidRPr="000478B4">
        <w:rPr>
          <w:rFonts w:eastAsia="Calibri"/>
          <w:i/>
          <w:sz w:val="20"/>
          <w:szCs w:val="20"/>
          <w:lang w:val="en-US"/>
        </w:rPr>
        <w:t>;</w:t>
      </w:r>
      <w:r w:rsidR="006B09E0" w:rsidRPr="000478B4">
        <w:rPr>
          <w:rFonts w:eastAsia="Calibri"/>
          <w:i/>
          <w:sz w:val="20"/>
          <w:szCs w:val="20"/>
        </w:rPr>
        <w:t>1</w:t>
      </w:r>
      <w:r w:rsidR="00163AE9" w:rsidRPr="000478B4">
        <w:rPr>
          <w:rFonts w:eastAsia="Calibri"/>
          <w:i/>
          <w:sz w:val="20"/>
          <w:szCs w:val="20"/>
        </w:rPr>
        <w:t>6</w:t>
      </w:r>
      <w:proofErr w:type="gramEnd"/>
      <w:r w:rsidR="00BA42F6" w:rsidRPr="000478B4">
        <w:rPr>
          <w:rFonts w:eastAsia="Calibri"/>
          <w:i/>
          <w:sz w:val="20"/>
          <w:szCs w:val="20"/>
          <w:lang w:val="en-US"/>
        </w:rPr>
        <w:t>].</w:t>
      </w:r>
    </w:p>
    <w:p w:rsidR="006B09E0" w:rsidRPr="000478B4" w:rsidRDefault="006B09E0" w:rsidP="000478B4">
      <w:pPr>
        <w:ind w:firstLine="709"/>
        <w:contextualSpacing/>
        <w:rPr>
          <w:rFonts w:eastAsia="Calibri"/>
          <w:sz w:val="24"/>
          <w:szCs w:val="24"/>
        </w:rPr>
      </w:pPr>
    </w:p>
    <w:p w:rsidR="002A04D8" w:rsidRPr="000478B4" w:rsidRDefault="002A04D8" w:rsidP="000478B4">
      <w:pPr>
        <w:ind w:firstLine="709"/>
        <w:contextualSpacing/>
        <w:rPr>
          <w:rFonts w:eastAsia="Calibri"/>
          <w:sz w:val="24"/>
          <w:szCs w:val="24"/>
          <w:lang w:val="en-US"/>
        </w:rPr>
      </w:pPr>
      <w:r w:rsidRPr="000478B4">
        <w:rPr>
          <w:rFonts w:eastAsia="Calibri"/>
          <w:sz w:val="24"/>
          <w:szCs w:val="24"/>
          <w:lang w:val="en-US"/>
        </w:rPr>
        <w:t>It should be noted that at the beginning of the analysis period, almost all capital indicators of banks decreased significantly, which was due to the restructuring of the banking sector by the National Bank and the forced nationalization of CB “</w:t>
      </w:r>
      <w:proofErr w:type="spellStart"/>
      <w:r w:rsidRPr="000478B4">
        <w:rPr>
          <w:rFonts w:eastAsia="Calibri"/>
          <w:sz w:val="24"/>
          <w:szCs w:val="24"/>
          <w:lang w:val="en-US"/>
        </w:rPr>
        <w:t>PrivatBank</w:t>
      </w:r>
      <w:proofErr w:type="spellEnd"/>
      <w:r w:rsidRPr="000478B4">
        <w:rPr>
          <w:rFonts w:eastAsia="Calibri"/>
          <w:sz w:val="24"/>
          <w:szCs w:val="24"/>
          <w:lang w:val="en-US"/>
        </w:rPr>
        <w:t>”. In the future, all indicators gradually increased, but the constant excess of authorized capital over equity due to the uncovered losses in the capital structure of most Ukrainian banks is noteworthy, which, at the same time, is gradually declining.</w:t>
      </w:r>
    </w:p>
    <w:p w:rsidR="002A04D8" w:rsidRPr="000478B4" w:rsidRDefault="002529A1" w:rsidP="000478B4">
      <w:pPr>
        <w:ind w:firstLine="709"/>
        <w:contextualSpacing/>
        <w:rPr>
          <w:rFonts w:eastAsia="Calibri"/>
          <w:sz w:val="24"/>
          <w:szCs w:val="24"/>
          <w:lang w:val="en-US"/>
        </w:rPr>
      </w:pPr>
      <w:r w:rsidRPr="000478B4">
        <w:rPr>
          <w:rFonts w:eastAsia="Calibri"/>
          <w:sz w:val="24"/>
          <w:szCs w:val="24"/>
          <w:lang w:val="en-US"/>
        </w:rPr>
        <w:t>C</w:t>
      </w:r>
      <w:r w:rsidR="002A04D8" w:rsidRPr="000478B4">
        <w:rPr>
          <w:rFonts w:eastAsia="Calibri"/>
          <w:sz w:val="24"/>
          <w:szCs w:val="24"/>
          <w:lang w:val="en-US"/>
        </w:rPr>
        <w:t xml:space="preserve">apital adequacy </w:t>
      </w:r>
      <w:r w:rsidR="00DC4DDA" w:rsidRPr="000478B4">
        <w:rPr>
          <w:rFonts w:eastAsia="Calibri"/>
          <w:sz w:val="24"/>
          <w:szCs w:val="24"/>
          <w:lang w:val="en-US"/>
        </w:rPr>
        <w:t>ratio</w:t>
      </w:r>
      <w:r w:rsidRPr="000478B4">
        <w:rPr>
          <w:rFonts w:eastAsia="Calibri"/>
          <w:sz w:val="24"/>
          <w:szCs w:val="24"/>
          <w:lang w:val="en-US"/>
        </w:rPr>
        <w:t>s</w:t>
      </w:r>
      <w:r w:rsidR="002A04D8" w:rsidRPr="000478B4">
        <w:rPr>
          <w:rFonts w:eastAsia="Calibri"/>
          <w:sz w:val="24"/>
          <w:szCs w:val="24"/>
          <w:lang w:val="en-US"/>
        </w:rPr>
        <w:t xml:space="preserve"> are a kind of barometer of the financial strength </w:t>
      </w:r>
      <w:r w:rsidRPr="000478B4">
        <w:rPr>
          <w:rFonts w:eastAsia="Calibri"/>
          <w:sz w:val="24"/>
          <w:szCs w:val="24"/>
          <w:lang w:val="en-US"/>
        </w:rPr>
        <w:t xml:space="preserve">margin </w:t>
      </w:r>
      <w:r w:rsidR="002A04D8" w:rsidRPr="000478B4">
        <w:rPr>
          <w:rFonts w:eastAsia="Calibri"/>
          <w:sz w:val="24"/>
          <w:szCs w:val="24"/>
          <w:lang w:val="en-US"/>
        </w:rPr>
        <w:t>as a prerequisite for the financial stability</w:t>
      </w:r>
      <w:r w:rsidRPr="000478B4">
        <w:rPr>
          <w:rFonts w:eastAsia="Calibri"/>
          <w:sz w:val="24"/>
          <w:szCs w:val="24"/>
          <w:lang w:val="en-US"/>
        </w:rPr>
        <w:t xml:space="preserve"> of the banks</w:t>
      </w:r>
      <w:r w:rsidR="002A04D8" w:rsidRPr="000478B4">
        <w:rPr>
          <w:rFonts w:eastAsia="Calibri"/>
          <w:sz w:val="24"/>
          <w:szCs w:val="24"/>
          <w:lang w:val="en-US"/>
        </w:rPr>
        <w:t xml:space="preserve">. In general, the </w:t>
      </w:r>
      <w:r w:rsidRPr="000478B4">
        <w:rPr>
          <w:rFonts w:eastAsia="Calibri"/>
          <w:sz w:val="24"/>
          <w:szCs w:val="24"/>
          <w:lang w:val="en-US"/>
        </w:rPr>
        <w:t>amount</w:t>
      </w:r>
      <w:r w:rsidR="002A04D8" w:rsidRPr="000478B4">
        <w:rPr>
          <w:rFonts w:eastAsia="Calibri"/>
          <w:sz w:val="24"/>
          <w:szCs w:val="24"/>
          <w:lang w:val="en-US"/>
        </w:rPr>
        <w:t xml:space="preserve"> of regulatory capital of </w:t>
      </w:r>
      <w:r w:rsidRPr="000478B4">
        <w:rPr>
          <w:rFonts w:eastAsia="Calibri"/>
          <w:sz w:val="24"/>
          <w:szCs w:val="24"/>
          <w:lang w:val="en-US"/>
        </w:rPr>
        <w:t xml:space="preserve">the </w:t>
      </w:r>
      <w:r w:rsidR="002A04D8" w:rsidRPr="000478B4">
        <w:rPr>
          <w:rFonts w:eastAsia="Calibri"/>
          <w:sz w:val="24"/>
          <w:szCs w:val="24"/>
          <w:lang w:val="en-US"/>
        </w:rPr>
        <w:t>Ukrainian banks is gradually recovering</w:t>
      </w:r>
      <w:r w:rsidRPr="000478B4">
        <w:rPr>
          <w:rFonts w:eastAsia="Calibri"/>
          <w:sz w:val="24"/>
          <w:szCs w:val="24"/>
          <w:lang w:val="en-US"/>
        </w:rPr>
        <w:t xml:space="preserve"> after a </w:t>
      </w:r>
      <w:r w:rsidR="00DC4DDA" w:rsidRPr="000478B4">
        <w:rPr>
          <w:rFonts w:eastAsia="Calibri"/>
          <w:sz w:val="24"/>
          <w:szCs w:val="24"/>
          <w:lang w:val="en-US"/>
        </w:rPr>
        <w:t>considerable</w:t>
      </w:r>
      <w:r w:rsidRPr="000478B4">
        <w:rPr>
          <w:rFonts w:eastAsia="Calibri"/>
          <w:sz w:val="24"/>
          <w:szCs w:val="24"/>
          <w:lang w:val="en-US"/>
        </w:rPr>
        <w:t xml:space="preserve"> decrease in 2015-2016</w:t>
      </w:r>
      <w:r w:rsidR="002A04D8" w:rsidRPr="000478B4">
        <w:rPr>
          <w:rFonts w:eastAsia="Calibri"/>
          <w:sz w:val="24"/>
          <w:szCs w:val="24"/>
          <w:lang w:val="en-US"/>
        </w:rPr>
        <w:t xml:space="preserve">. </w:t>
      </w:r>
      <w:r w:rsidR="00CF483B" w:rsidRPr="000478B4">
        <w:rPr>
          <w:rFonts w:eastAsia="Calibri"/>
          <w:sz w:val="24"/>
          <w:szCs w:val="24"/>
          <w:lang w:val="en-US"/>
        </w:rPr>
        <w:t>T</w:t>
      </w:r>
      <w:r w:rsidR="002A04D8" w:rsidRPr="000478B4">
        <w:rPr>
          <w:rFonts w:eastAsia="Calibri"/>
          <w:sz w:val="24"/>
          <w:szCs w:val="24"/>
          <w:lang w:val="en-US"/>
        </w:rPr>
        <w:t xml:space="preserve">he constant compliance by banks with the capital adequacy ratio </w:t>
      </w:r>
      <w:r w:rsidR="00234F2C" w:rsidRPr="000478B4">
        <w:rPr>
          <w:rFonts w:eastAsia="Calibri"/>
          <w:sz w:val="24"/>
          <w:szCs w:val="24"/>
          <w:lang w:val="en-US"/>
        </w:rPr>
        <w:t>N</w:t>
      </w:r>
      <w:r w:rsidR="002A04D8" w:rsidRPr="000478B4">
        <w:rPr>
          <w:rFonts w:eastAsia="Calibri"/>
          <w:sz w:val="24"/>
          <w:szCs w:val="24"/>
          <w:lang w:val="en-US"/>
        </w:rPr>
        <w:t>2, which at the beginning of 2020 almost doubled the minimum value (10%)</w:t>
      </w:r>
      <w:r w:rsidR="00CF483B" w:rsidRPr="000478B4">
        <w:rPr>
          <w:rFonts w:eastAsia="Calibri"/>
          <w:sz w:val="24"/>
          <w:szCs w:val="24"/>
          <w:lang w:val="en-US"/>
        </w:rPr>
        <w:t>, is also a positive point.</w:t>
      </w:r>
      <w:r w:rsidR="002A04D8" w:rsidRPr="000478B4">
        <w:rPr>
          <w:rFonts w:eastAsia="Calibri"/>
          <w:sz w:val="24"/>
          <w:szCs w:val="24"/>
          <w:lang w:val="en-US"/>
        </w:rPr>
        <w:t xml:space="preserve"> However, such a </w:t>
      </w:r>
      <w:r w:rsidR="00DC4DDA" w:rsidRPr="000478B4">
        <w:rPr>
          <w:rFonts w:eastAsia="Calibri"/>
          <w:sz w:val="24"/>
          <w:szCs w:val="24"/>
          <w:lang w:val="en-US"/>
        </w:rPr>
        <w:t>sizeable</w:t>
      </w:r>
      <w:r w:rsidR="002A04D8" w:rsidRPr="000478B4">
        <w:rPr>
          <w:rFonts w:eastAsia="Calibri"/>
          <w:sz w:val="24"/>
          <w:szCs w:val="24"/>
          <w:lang w:val="en-US"/>
        </w:rPr>
        <w:t xml:space="preserve"> excess, in our opinion, is not, as a whole, </w:t>
      </w:r>
      <w:r w:rsidR="00CF483B" w:rsidRPr="000478B4">
        <w:rPr>
          <w:rFonts w:eastAsia="Calibri"/>
          <w:sz w:val="24"/>
          <w:szCs w:val="24"/>
          <w:lang w:val="en-US"/>
        </w:rPr>
        <w:t>a</w:t>
      </w:r>
      <w:r w:rsidR="002A04D8" w:rsidRPr="000478B4">
        <w:rPr>
          <w:rFonts w:eastAsia="Calibri"/>
          <w:sz w:val="24"/>
          <w:szCs w:val="24"/>
          <w:lang w:val="en-US"/>
        </w:rPr>
        <w:t xml:space="preserve"> result of the </w:t>
      </w:r>
      <w:r w:rsidR="00CF483B" w:rsidRPr="000478B4">
        <w:rPr>
          <w:rFonts w:eastAsia="Calibri"/>
          <w:sz w:val="24"/>
          <w:szCs w:val="24"/>
          <w:lang w:val="en-US"/>
        </w:rPr>
        <w:t xml:space="preserve">strong capital base </w:t>
      </w:r>
      <w:r w:rsidR="002A04D8" w:rsidRPr="000478B4">
        <w:rPr>
          <w:rFonts w:eastAsia="Calibri"/>
          <w:sz w:val="24"/>
          <w:szCs w:val="24"/>
          <w:lang w:val="en-US"/>
        </w:rPr>
        <w:t>formation, but a consequence of the specific assets</w:t>
      </w:r>
      <w:r w:rsidR="00CF483B" w:rsidRPr="000478B4">
        <w:rPr>
          <w:rFonts w:eastAsia="Calibri"/>
          <w:sz w:val="24"/>
          <w:szCs w:val="24"/>
          <w:lang w:val="en-US"/>
        </w:rPr>
        <w:t>’ structure</w:t>
      </w:r>
      <w:r w:rsidR="002A04D8" w:rsidRPr="000478B4">
        <w:rPr>
          <w:rFonts w:eastAsia="Calibri"/>
          <w:sz w:val="24"/>
          <w:szCs w:val="24"/>
          <w:lang w:val="en-US"/>
        </w:rPr>
        <w:t xml:space="preserve"> of many banks, where government bonds account for a significant share. At the same time, as of July 1, 2020, in five of the fourteen systemically important banks of Ukraine, the excess of the </w:t>
      </w:r>
      <w:r w:rsidR="00234F2C" w:rsidRPr="000478B4">
        <w:rPr>
          <w:rFonts w:eastAsia="Calibri"/>
          <w:sz w:val="24"/>
          <w:szCs w:val="24"/>
          <w:lang w:val="en-US"/>
        </w:rPr>
        <w:t>N</w:t>
      </w:r>
      <w:r w:rsidR="002A04D8" w:rsidRPr="000478B4">
        <w:rPr>
          <w:rFonts w:eastAsia="Calibri"/>
          <w:sz w:val="24"/>
          <w:szCs w:val="24"/>
          <w:lang w:val="en-US"/>
        </w:rPr>
        <w:t>2 ratio was in the range of 3</w:t>
      </w:r>
      <w:r w:rsidR="00CF483B" w:rsidRPr="000478B4">
        <w:rPr>
          <w:rFonts w:eastAsia="Calibri"/>
          <w:sz w:val="24"/>
          <w:szCs w:val="24"/>
          <w:lang w:val="en-US"/>
        </w:rPr>
        <w:t xml:space="preserve"> pp.</w:t>
      </w:r>
      <w:r w:rsidR="002A04D8" w:rsidRPr="000478B4">
        <w:rPr>
          <w:rFonts w:eastAsia="Calibri"/>
          <w:sz w:val="24"/>
          <w:szCs w:val="24"/>
          <w:lang w:val="en-US"/>
        </w:rPr>
        <w:t xml:space="preserve"> up to 5 pp</w:t>
      </w:r>
      <w:r w:rsidR="00CF483B" w:rsidRPr="000478B4">
        <w:rPr>
          <w:rFonts w:eastAsia="Calibri"/>
          <w:sz w:val="24"/>
          <w:szCs w:val="24"/>
          <w:lang w:val="en-US"/>
        </w:rPr>
        <w:t>.</w:t>
      </w:r>
      <w:r w:rsidR="002A04D8" w:rsidRPr="000478B4">
        <w:rPr>
          <w:rFonts w:eastAsia="Calibri"/>
          <w:sz w:val="24"/>
          <w:szCs w:val="24"/>
          <w:lang w:val="en-US"/>
        </w:rPr>
        <w:t xml:space="preserve"> </w:t>
      </w:r>
      <w:r w:rsidR="00CF483B" w:rsidRPr="000478B4">
        <w:rPr>
          <w:rFonts w:eastAsia="Calibri"/>
          <w:sz w:val="24"/>
          <w:szCs w:val="24"/>
          <w:lang w:val="en-US"/>
        </w:rPr>
        <w:t xml:space="preserve">above the minimum value. </w:t>
      </w:r>
      <w:r w:rsidR="002A04D8" w:rsidRPr="000478B4">
        <w:rPr>
          <w:rFonts w:eastAsia="Calibri"/>
          <w:sz w:val="24"/>
          <w:szCs w:val="24"/>
          <w:lang w:val="en-US"/>
        </w:rPr>
        <w:t>In our opinion, this may not be enough to cover unexpected losses in terms of operational risk</w:t>
      </w:r>
      <w:r w:rsidR="00CF483B" w:rsidRPr="000478B4">
        <w:rPr>
          <w:rFonts w:eastAsia="Calibri"/>
          <w:sz w:val="24"/>
          <w:szCs w:val="24"/>
          <w:lang w:val="en-US"/>
        </w:rPr>
        <w:t xml:space="preserve"> as well</w:t>
      </w:r>
      <w:r w:rsidR="002A04D8" w:rsidRPr="000478B4">
        <w:rPr>
          <w:rFonts w:eastAsia="Calibri"/>
          <w:sz w:val="24"/>
          <w:szCs w:val="24"/>
          <w:lang w:val="en-US"/>
        </w:rPr>
        <w:t>.</w:t>
      </w:r>
    </w:p>
    <w:p w:rsidR="00BC652C" w:rsidRPr="000478B4" w:rsidRDefault="00BC652C" w:rsidP="000478B4">
      <w:pPr>
        <w:ind w:firstLine="709"/>
        <w:contextualSpacing/>
        <w:rPr>
          <w:rFonts w:eastAsia="Calibri"/>
          <w:sz w:val="24"/>
          <w:szCs w:val="24"/>
          <w:lang w:val="en-US"/>
        </w:rPr>
      </w:pPr>
      <w:r w:rsidRPr="000478B4">
        <w:rPr>
          <w:rFonts w:eastAsia="Calibri"/>
          <w:sz w:val="24"/>
          <w:szCs w:val="24"/>
          <w:lang w:val="en-US"/>
        </w:rPr>
        <w:t xml:space="preserve">Thus, one of the priority areas for ensuring the financial stability of domestic banks is to overcome the problems of their capitalization in order to be able to withstand shocks that threaten the smooth </w:t>
      </w:r>
      <w:r w:rsidR="00EC7706" w:rsidRPr="000478B4">
        <w:rPr>
          <w:rFonts w:eastAsia="Calibri"/>
          <w:sz w:val="24"/>
          <w:szCs w:val="24"/>
          <w:lang w:val="en-US"/>
        </w:rPr>
        <w:t>realization</w:t>
      </w:r>
      <w:r w:rsidRPr="000478B4">
        <w:rPr>
          <w:rFonts w:eastAsia="Calibri"/>
          <w:sz w:val="24"/>
          <w:szCs w:val="24"/>
          <w:lang w:val="en-US"/>
        </w:rPr>
        <w:t xml:space="preserve"> of the banks’ functions.</w:t>
      </w:r>
    </w:p>
    <w:p w:rsidR="00BC652C" w:rsidRPr="000478B4" w:rsidRDefault="00BC652C" w:rsidP="000478B4">
      <w:pPr>
        <w:ind w:firstLine="709"/>
        <w:contextualSpacing/>
        <w:rPr>
          <w:rFonts w:eastAsia="Calibri"/>
          <w:sz w:val="24"/>
          <w:szCs w:val="24"/>
          <w:lang w:val="en-US"/>
        </w:rPr>
      </w:pPr>
      <w:r w:rsidRPr="000478B4">
        <w:rPr>
          <w:rFonts w:eastAsia="Calibri"/>
          <w:sz w:val="24"/>
          <w:szCs w:val="24"/>
          <w:lang w:val="en-US"/>
        </w:rPr>
        <w:t xml:space="preserve">The level of non-performing loans (NPL), which characterizes the quality of </w:t>
      </w:r>
      <w:r w:rsidR="00EC7706" w:rsidRPr="000478B4">
        <w:rPr>
          <w:rFonts w:eastAsia="Calibri"/>
          <w:sz w:val="24"/>
          <w:szCs w:val="24"/>
          <w:lang w:val="en-US"/>
        </w:rPr>
        <w:t>loan portfolios</w:t>
      </w:r>
      <w:r w:rsidRPr="000478B4">
        <w:rPr>
          <w:rFonts w:eastAsia="Calibri"/>
          <w:sz w:val="24"/>
          <w:szCs w:val="24"/>
          <w:lang w:val="en-US"/>
        </w:rPr>
        <w:t>, is one of the indicators that reflect the threat to the financial stability of both the individual bank and the banking sector as a whole. Statistics on non-performing loans is available from February 1, 2017 on the NBU website (Table 2).</w:t>
      </w:r>
    </w:p>
    <w:p w:rsidR="006E6CED" w:rsidRDefault="006E6CED" w:rsidP="000478B4">
      <w:pPr>
        <w:ind w:firstLine="567"/>
        <w:contextualSpacing/>
        <w:jc w:val="right"/>
        <w:rPr>
          <w:rFonts w:eastAsia="Calibri"/>
          <w:b/>
          <w:sz w:val="24"/>
          <w:szCs w:val="24"/>
        </w:rPr>
      </w:pPr>
    </w:p>
    <w:p w:rsidR="006E6CED" w:rsidRDefault="006E6CED" w:rsidP="000478B4">
      <w:pPr>
        <w:ind w:firstLine="567"/>
        <w:contextualSpacing/>
        <w:jc w:val="right"/>
        <w:rPr>
          <w:rFonts w:eastAsia="Calibri"/>
          <w:b/>
          <w:sz w:val="24"/>
          <w:szCs w:val="24"/>
        </w:rPr>
      </w:pPr>
    </w:p>
    <w:p w:rsidR="00DE0EC8" w:rsidRPr="000478B4" w:rsidRDefault="00BC652C" w:rsidP="000478B4">
      <w:pPr>
        <w:ind w:firstLine="567"/>
        <w:contextualSpacing/>
        <w:jc w:val="right"/>
        <w:rPr>
          <w:rFonts w:eastAsia="Calibri"/>
          <w:b/>
          <w:sz w:val="24"/>
          <w:szCs w:val="24"/>
          <w:lang w:val="en-US"/>
        </w:rPr>
      </w:pPr>
      <w:r w:rsidRPr="000478B4">
        <w:rPr>
          <w:rFonts w:eastAsia="Calibri"/>
          <w:b/>
          <w:sz w:val="24"/>
          <w:szCs w:val="24"/>
          <w:lang w:val="en-US"/>
        </w:rPr>
        <w:lastRenderedPageBreak/>
        <w:t>Tabl</w:t>
      </w:r>
      <w:r w:rsidR="00A259B1" w:rsidRPr="000478B4">
        <w:rPr>
          <w:rFonts w:eastAsia="Calibri"/>
          <w:b/>
          <w:sz w:val="24"/>
          <w:szCs w:val="24"/>
          <w:lang w:val="en-US"/>
        </w:rPr>
        <w:t xml:space="preserve">e </w:t>
      </w:r>
      <w:r w:rsidR="00DE0EC8" w:rsidRPr="000478B4">
        <w:rPr>
          <w:rFonts w:eastAsia="Calibri"/>
          <w:b/>
          <w:sz w:val="24"/>
          <w:szCs w:val="24"/>
          <w:lang w:val="en-US"/>
        </w:rPr>
        <w:t>2</w:t>
      </w:r>
    </w:p>
    <w:p w:rsidR="00BC652C" w:rsidRPr="000478B4" w:rsidRDefault="00BC652C" w:rsidP="000478B4">
      <w:pPr>
        <w:tabs>
          <w:tab w:val="left" w:pos="284"/>
        </w:tabs>
        <w:ind w:firstLine="142"/>
        <w:jc w:val="center"/>
        <w:rPr>
          <w:rFonts w:eastAsia="Times New Roman"/>
          <w:b/>
          <w:color w:val="000000"/>
          <w:sz w:val="24"/>
          <w:szCs w:val="24"/>
          <w:lang w:val="en-US" w:eastAsia="ru-RU"/>
        </w:rPr>
      </w:pPr>
      <w:r w:rsidRPr="000478B4">
        <w:rPr>
          <w:rFonts w:eastAsia="Times New Roman"/>
          <w:b/>
          <w:color w:val="000000"/>
          <w:sz w:val="24"/>
          <w:szCs w:val="24"/>
          <w:lang w:val="en-US" w:eastAsia="ru-RU"/>
        </w:rPr>
        <w:t>Dynamics of the share of non-performing loans in the loan portfolio</w:t>
      </w:r>
    </w:p>
    <w:p w:rsidR="00DE0EC8" w:rsidRPr="000478B4" w:rsidRDefault="00BC652C" w:rsidP="000478B4">
      <w:pPr>
        <w:tabs>
          <w:tab w:val="left" w:pos="284"/>
        </w:tabs>
        <w:ind w:firstLine="142"/>
        <w:jc w:val="center"/>
        <w:rPr>
          <w:rFonts w:eastAsia="Times New Roman"/>
          <w:b/>
          <w:color w:val="000000"/>
          <w:sz w:val="24"/>
          <w:szCs w:val="24"/>
          <w:vertAlign w:val="superscript"/>
          <w:lang w:val="en-US" w:eastAsia="ru-RU"/>
        </w:rPr>
      </w:pPr>
      <w:proofErr w:type="gramStart"/>
      <w:r w:rsidRPr="000478B4">
        <w:rPr>
          <w:rFonts w:eastAsia="Times New Roman"/>
          <w:b/>
          <w:color w:val="000000"/>
          <w:sz w:val="24"/>
          <w:szCs w:val="24"/>
          <w:lang w:val="en-US" w:eastAsia="ru-RU"/>
        </w:rPr>
        <w:t>of</w:t>
      </w:r>
      <w:proofErr w:type="gramEnd"/>
      <w:r w:rsidRPr="000478B4">
        <w:rPr>
          <w:rFonts w:eastAsia="Times New Roman"/>
          <w:b/>
          <w:color w:val="000000"/>
          <w:sz w:val="24"/>
          <w:szCs w:val="24"/>
          <w:lang w:val="en-US" w:eastAsia="ru-RU"/>
        </w:rPr>
        <w:t xml:space="preserve"> the Ukrainian banks</w:t>
      </w:r>
      <w:r w:rsidR="00C1305B" w:rsidRPr="000478B4">
        <w:rPr>
          <w:rFonts w:eastAsia="Times New Roman"/>
          <w:b/>
          <w:color w:val="000000"/>
          <w:sz w:val="24"/>
          <w:szCs w:val="24"/>
          <w:lang w:val="en-US" w:eastAsia="ru-RU"/>
        </w:rPr>
        <w:t>, %</w:t>
      </w:r>
    </w:p>
    <w:tbl>
      <w:tblPr>
        <w:tblW w:w="9072" w:type="dxa"/>
        <w:jc w:val="center"/>
        <w:tblInd w:w="108" w:type="dxa"/>
        <w:tblLayout w:type="fixed"/>
        <w:tblLook w:val="04A0" w:firstRow="1" w:lastRow="0" w:firstColumn="1" w:lastColumn="0" w:noHBand="0" w:noVBand="1"/>
      </w:tblPr>
      <w:tblGrid>
        <w:gridCol w:w="2268"/>
        <w:gridCol w:w="1134"/>
        <w:gridCol w:w="1134"/>
        <w:gridCol w:w="1134"/>
        <w:gridCol w:w="1134"/>
        <w:gridCol w:w="1134"/>
        <w:gridCol w:w="1134"/>
      </w:tblGrid>
      <w:tr w:rsidR="00DE0EC8" w:rsidRPr="000478B4" w:rsidTr="006E6CED">
        <w:trPr>
          <w:trHeight w:val="315"/>
          <w:jc w:val="center"/>
        </w:trPr>
        <w:tc>
          <w:tcPr>
            <w:tcW w:w="2268" w:type="dxa"/>
            <w:vMerge w:val="restart"/>
            <w:tcBorders>
              <w:top w:val="single" w:sz="4" w:space="0" w:color="auto"/>
              <w:left w:val="single" w:sz="4" w:space="0" w:color="auto"/>
              <w:right w:val="single" w:sz="4" w:space="0" w:color="auto"/>
            </w:tcBorders>
            <w:shd w:val="clear" w:color="auto" w:fill="auto"/>
            <w:noWrap/>
            <w:vAlign w:val="center"/>
          </w:tcPr>
          <w:p w:rsidR="00DE0EC8" w:rsidRPr="000478B4" w:rsidRDefault="00BC652C" w:rsidP="000478B4">
            <w:pPr>
              <w:jc w:val="center"/>
              <w:rPr>
                <w:rFonts w:eastAsia="Times New Roman"/>
                <w:color w:val="000000"/>
                <w:sz w:val="22"/>
                <w:szCs w:val="22"/>
                <w:lang w:val="en-US" w:eastAsia="uk-UA"/>
              </w:rPr>
            </w:pPr>
            <w:r w:rsidRPr="000478B4">
              <w:rPr>
                <w:rFonts w:eastAsia="Times New Roman"/>
                <w:color w:val="000000"/>
                <w:sz w:val="22"/>
                <w:szCs w:val="22"/>
                <w:lang w:val="en-US" w:eastAsia="uk-UA"/>
              </w:rPr>
              <w:t>Indicators</w:t>
            </w:r>
          </w:p>
        </w:tc>
        <w:tc>
          <w:tcPr>
            <w:tcW w:w="1134" w:type="dxa"/>
            <w:vMerge w:val="restart"/>
            <w:tcBorders>
              <w:top w:val="single" w:sz="4" w:space="0" w:color="auto"/>
              <w:left w:val="nil"/>
              <w:right w:val="single" w:sz="4" w:space="0" w:color="auto"/>
            </w:tcBorders>
            <w:shd w:val="clear" w:color="auto" w:fill="auto"/>
            <w:noWrap/>
            <w:vAlign w:val="center"/>
          </w:tcPr>
          <w:p w:rsidR="00DE0EC8" w:rsidRPr="000478B4" w:rsidRDefault="00DE0EC8" w:rsidP="000478B4">
            <w:pPr>
              <w:ind w:left="-108" w:right="-108"/>
              <w:jc w:val="center"/>
              <w:rPr>
                <w:rFonts w:eastAsia="Times New Roman"/>
                <w:color w:val="000000"/>
                <w:sz w:val="22"/>
                <w:szCs w:val="22"/>
                <w:lang w:val="en-US" w:eastAsia="uk-UA"/>
              </w:rPr>
            </w:pPr>
            <w:r w:rsidRPr="000478B4">
              <w:rPr>
                <w:rFonts w:eastAsia="Times New Roman"/>
                <w:color w:val="000000"/>
                <w:sz w:val="22"/>
                <w:szCs w:val="22"/>
                <w:lang w:val="en-US" w:eastAsia="uk-UA"/>
              </w:rPr>
              <w:t>01.02.2017</w:t>
            </w:r>
          </w:p>
        </w:tc>
        <w:tc>
          <w:tcPr>
            <w:tcW w:w="1134" w:type="dxa"/>
            <w:vMerge w:val="restart"/>
            <w:tcBorders>
              <w:top w:val="single" w:sz="4" w:space="0" w:color="auto"/>
              <w:left w:val="nil"/>
              <w:right w:val="single" w:sz="4" w:space="0" w:color="auto"/>
            </w:tcBorders>
            <w:shd w:val="clear" w:color="auto" w:fill="auto"/>
            <w:noWrap/>
            <w:vAlign w:val="center"/>
          </w:tcPr>
          <w:p w:rsidR="00DE0EC8" w:rsidRPr="000478B4" w:rsidRDefault="00DE0EC8" w:rsidP="000478B4">
            <w:pPr>
              <w:ind w:left="-108" w:right="-108"/>
              <w:jc w:val="center"/>
              <w:rPr>
                <w:rFonts w:eastAsia="Times New Roman"/>
                <w:color w:val="000000"/>
                <w:sz w:val="22"/>
                <w:szCs w:val="22"/>
                <w:lang w:val="en-US" w:eastAsia="uk-UA"/>
              </w:rPr>
            </w:pPr>
            <w:r w:rsidRPr="000478B4">
              <w:rPr>
                <w:rFonts w:eastAsia="Times New Roman"/>
                <w:color w:val="000000"/>
                <w:sz w:val="22"/>
                <w:szCs w:val="22"/>
                <w:lang w:val="en-US" w:eastAsia="uk-UA"/>
              </w:rPr>
              <w:t>01.01.2018</w:t>
            </w:r>
          </w:p>
        </w:tc>
        <w:tc>
          <w:tcPr>
            <w:tcW w:w="1134" w:type="dxa"/>
            <w:vMerge w:val="restart"/>
            <w:tcBorders>
              <w:top w:val="single" w:sz="4" w:space="0" w:color="auto"/>
              <w:left w:val="nil"/>
              <w:right w:val="single" w:sz="4" w:space="0" w:color="auto"/>
            </w:tcBorders>
            <w:shd w:val="clear" w:color="auto" w:fill="auto"/>
            <w:noWrap/>
            <w:vAlign w:val="center"/>
          </w:tcPr>
          <w:p w:rsidR="00DE0EC8" w:rsidRPr="000478B4" w:rsidRDefault="00DE0EC8" w:rsidP="000478B4">
            <w:pPr>
              <w:ind w:left="-108" w:right="-108"/>
              <w:jc w:val="center"/>
              <w:rPr>
                <w:rFonts w:eastAsia="Times New Roman"/>
                <w:color w:val="000000"/>
                <w:sz w:val="22"/>
                <w:szCs w:val="22"/>
                <w:lang w:val="en-US" w:eastAsia="uk-UA"/>
              </w:rPr>
            </w:pPr>
            <w:r w:rsidRPr="000478B4">
              <w:rPr>
                <w:rFonts w:eastAsia="Times New Roman"/>
                <w:color w:val="000000"/>
                <w:sz w:val="22"/>
                <w:szCs w:val="22"/>
                <w:lang w:val="en-US" w:eastAsia="uk-UA"/>
              </w:rPr>
              <w:t>01.01.2019</w:t>
            </w:r>
          </w:p>
        </w:tc>
        <w:tc>
          <w:tcPr>
            <w:tcW w:w="1134" w:type="dxa"/>
            <w:vMerge w:val="restart"/>
            <w:tcBorders>
              <w:top w:val="single" w:sz="4" w:space="0" w:color="auto"/>
              <w:left w:val="nil"/>
              <w:right w:val="single" w:sz="4" w:space="0" w:color="auto"/>
            </w:tcBorders>
            <w:shd w:val="clear" w:color="auto" w:fill="auto"/>
            <w:noWrap/>
            <w:vAlign w:val="center"/>
          </w:tcPr>
          <w:p w:rsidR="00DE0EC8" w:rsidRPr="000478B4" w:rsidRDefault="00DE0EC8" w:rsidP="000478B4">
            <w:pPr>
              <w:ind w:left="-108" w:right="-108"/>
              <w:jc w:val="center"/>
              <w:rPr>
                <w:rFonts w:eastAsia="Times New Roman"/>
                <w:color w:val="000000"/>
                <w:sz w:val="22"/>
                <w:szCs w:val="22"/>
                <w:lang w:val="en-US" w:eastAsia="uk-UA"/>
              </w:rPr>
            </w:pPr>
            <w:r w:rsidRPr="000478B4">
              <w:rPr>
                <w:rFonts w:eastAsia="Times New Roman"/>
                <w:color w:val="000000"/>
                <w:sz w:val="22"/>
                <w:szCs w:val="22"/>
                <w:lang w:val="en-US" w:eastAsia="uk-UA"/>
              </w:rPr>
              <w:t>01.01.2020</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DE0EC8" w:rsidRPr="000478B4" w:rsidRDefault="00052290" w:rsidP="000478B4">
            <w:pPr>
              <w:ind w:left="-108"/>
              <w:jc w:val="center"/>
              <w:rPr>
                <w:rFonts w:eastAsia="Times New Roman"/>
                <w:color w:val="000000"/>
                <w:sz w:val="22"/>
                <w:szCs w:val="22"/>
                <w:lang w:val="en-US" w:eastAsia="uk-UA"/>
              </w:rPr>
            </w:pPr>
            <w:r w:rsidRPr="000478B4">
              <w:rPr>
                <w:rFonts w:eastAsia="Times New Roman"/>
                <w:color w:val="000000"/>
                <w:sz w:val="22"/>
                <w:szCs w:val="22"/>
                <w:lang w:val="en-US" w:eastAsia="uk-UA"/>
              </w:rPr>
              <w:t>Absolute deviation</w:t>
            </w:r>
          </w:p>
        </w:tc>
      </w:tr>
      <w:tr w:rsidR="00DE0EC8" w:rsidRPr="000478B4" w:rsidTr="006E6CED">
        <w:trPr>
          <w:trHeight w:val="315"/>
          <w:jc w:val="center"/>
        </w:trPr>
        <w:tc>
          <w:tcPr>
            <w:tcW w:w="2268" w:type="dxa"/>
            <w:vMerge/>
            <w:tcBorders>
              <w:left w:val="single" w:sz="4" w:space="0" w:color="auto"/>
              <w:bottom w:val="single" w:sz="4" w:space="0" w:color="auto"/>
              <w:right w:val="single" w:sz="4" w:space="0" w:color="auto"/>
            </w:tcBorders>
            <w:shd w:val="clear" w:color="auto" w:fill="auto"/>
            <w:noWrap/>
            <w:vAlign w:val="center"/>
            <w:hideMark/>
          </w:tcPr>
          <w:p w:rsidR="00DE0EC8" w:rsidRPr="000478B4" w:rsidRDefault="00DE0EC8" w:rsidP="000478B4">
            <w:pPr>
              <w:jc w:val="center"/>
              <w:rPr>
                <w:rFonts w:eastAsia="Times New Roman"/>
                <w:color w:val="000000"/>
                <w:sz w:val="22"/>
                <w:szCs w:val="22"/>
                <w:lang w:val="en-US" w:eastAsia="uk-UA"/>
              </w:rPr>
            </w:pPr>
          </w:p>
        </w:tc>
        <w:tc>
          <w:tcPr>
            <w:tcW w:w="1134" w:type="dxa"/>
            <w:vMerge/>
            <w:tcBorders>
              <w:left w:val="nil"/>
              <w:bottom w:val="single" w:sz="4" w:space="0" w:color="auto"/>
              <w:right w:val="single" w:sz="4" w:space="0" w:color="auto"/>
            </w:tcBorders>
            <w:shd w:val="clear" w:color="auto" w:fill="auto"/>
            <w:noWrap/>
            <w:vAlign w:val="center"/>
            <w:hideMark/>
          </w:tcPr>
          <w:p w:rsidR="00DE0EC8" w:rsidRPr="000478B4" w:rsidRDefault="00DE0EC8" w:rsidP="000478B4">
            <w:pPr>
              <w:ind w:left="-108"/>
              <w:jc w:val="center"/>
              <w:rPr>
                <w:rFonts w:eastAsia="Times New Roman"/>
                <w:color w:val="000000"/>
                <w:sz w:val="22"/>
                <w:szCs w:val="22"/>
                <w:lang w:val="en-US" w:eastAsia="uk-UA"/>
              </w:rPr>
            </w:pPr>
          </w:p>
        </w:tc>
        <w:tc>
          <w:tcPr>
            <w:tcW w:w="1134" w:type="dxa"/>
            <w:vMerge/>
            <w:tcBorders>
              <w:left w:val="nil"/>
              <w:bottom w:val="single" w:sz="4" w:space="0" w:color="auto"/>
              <w:right w:val="single" w:sz="4" w:space="0" w:color="auto"/>
            </w:tcBorders>
            <w:shd w:val="clear" w:color="auto" w:fill="auto"/>
            <w:noWrap/>
            <w:vAlign w:val="center"/>
            <w:hideMark/>
          </w:tcPr>
          <w:p w:rsidR="00DE0EC8" w:rsidRPr="000478B4" w:rsidRDefault="00DE0EC8" w:rsidP="000478B4">
            <w:pPr>
              <w:ind w:left="-108"/>
              <w:jc w:val="center"/>
              <w:rPr>
                <w:rFonts w:eastAsia="Times New Roman"/>
                <w:color w:val="000000"/>
                <w:sz w:val="22"/>
                <w:szCs w:val="22"/>
                <w:lang w:val="en-US" w:eastAsia="uk-UA"/>
              </w:rPr>
            </w:pPr>
          </w:p>
        </w:tc>
        <w:tc>
          <w:tcPr>
            <w:tcW w:w="1134" w:type="dxa"/>
            <w:vMerge/>
            <w:tcBorders>
              <w:left w:val="nil"/>
              <w:bottom w:val="single" w:sz="4" w:space="0" w:color="auto"/>
              <w:right w:val="single" w:sz="4" w:space="0" w:color="auto"/>
            </w:tcBorders>
            <w:shd w:val="clear" w:color="auto" w:fill="auto"/>
            <w:noWrap/>
            <w:vAlign w:val="center"/>
            <w:hideMark/>
          </w:tcPr>
          <w:p w:rsidR="00DE0EC8" w:rsidRPr="000478B4" w:rsidRDefault="00DE0EC8" w:rsidP="000478B4">
            <w:pPr>
              <w:ind w:left="-108"/>
              <w:jc w:val="center"/>
              <w:rPr>
                <w:rFonts w:eastAsia="Times New Roman"/>
                <w:color w:val="000000"/>
                <w:sz w:val="22"/>
                <w:szCs w:val="22"/>
                <w:lang w:val="en-US" w:eastAsia="uk-UA"/>
              </w:rPr>
            </w:pPr>
          </w:p>
        </w:tc>
        <w:tc>
          <w:tcPr>
            <w:tcW w:w="1134" w:type="dxa"/>
            <w:vMerge/>
            <w:tcBorders>
              <w:left w:val="nil"/>
              <w:bottom w:val="single" w:sz="4" w:space="0" w:color="auto"/>
              <w:right w:val="single" w:sz="4" w:space="0" w:color="auto"/>
            </w:tcBorders>
            <w:shd w:val="clear" w:color="auto" w:fill="auto"/>
            <w:noWrap/>
            <w:vAlign w:val="center"/>
            <w:hideMark/>
          </w:tcPr>
          <w:p w:rsidR="00DE0EC8" w:rsidRPr="000478B4" w:rsidRDefault="00DE0EC8" w:rsidP="000478B4">
            <w:pPr>
              <w:ind w:left="-108"/>
              <w:jc w:val="center"/>
              <w:rPr>
                <w:rFonts w:eastAsia="Times New Roman"/>
                <w:color w:val="000000"/>
                <w:sz w:val="22"/>
                <w:szCs w:val="22"/>
                <w:lang w:val="en-US" w:eastAsia="uk-UA"/>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0EC8" w:rsidRPr="000478B4" w:rsidRDefault="00DE0EC8" w:rsidP="000478B4">
            <w:pPr>
              <w:ind w:left="-108" w:right="-70"/>
              <w:jc w:val="center"/>
              <w:rPr>
                <w:rFonts w:eastAsia="Times New Roman"/>
                <w:color w:val="000000"/>
                <w:sz w:val="22"/>
                <w:szCs w:val="22"/>
                <w:lang w:val="en-US" w:eastAsia="uk-UA"/>
              </w:rPr>
            </w:pPr>
            <w:r w:rsidRPr="000478B4">
              <w:rPr>
                <w:rFonts w:eastAsia="Times New Roman"/>
                <w:color w:val="000000"/>
                <w:sz w:val="22"/>
                <w:szCs w:val="22"/>
                <w:lang w:val="en-US" w:eastAsia="uk-UA"/>
              </w:rPr>
              <w:t>01.01.2020/</w:t>
            </w:r>
          </w:p>
          <w:p w:rsidR="00DE0EC8" w:rsidRPr="000478B4" w:rsidRDefault="00DE0EC8" w:rsidP="000478B4">
            <w:pPr>
              <w:ind w:left="-108"/>
              <w:jc w:val="center"/>
              <w:rPr>
                <w:rFonts w:eastAsia="Times New Roman"/>
                <w:color w:val="000000"/>
                <w:sz w:val="22"/>
                <w:szCs w:val="22"/>
                <w:lang w:val="en-US" w:eastAsia="uk-UA"/>
              </w:rPr>
            </w:pPr>
            <w:r w:rsidRPr="000478B4">
              <w:rPr>
                <w:rFonts w:eastAsia="Times New Roman"/>
                <w:color w:val="000000"/>
                <w:sz w:val="22"/>
                <w:szCs w:val="22"/>
                <w:lang w:val="en-US" w:eastAsia="uk-UA"/>
              </w:rPr>
              <w:t>01.01.2019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0EC8" w:rsidRPr="000478B4" w:rsidRDefault="009A0248" w:rsidP="000478B4">
            <w:pPr>
              <w:ind w:left="-108"/>
              <w:jc w:val="center"/>
              <w:rPr>
                <w:rFonts w:eastAsia="Times New Roman"/>
                <w:color w:val="000000"/>
                <w:sz w:val="22"/>
                <w:szCs w:val="22"/>
                <w:lang w:val="en-US" w:eastAsia="uk-UA"/>
              </w:rPr>
            </w:pPr>
            <w:r w:rsidRPr="000478B4">
              <w:rPr>
                <w:rFonts w:eastAsia="Times New Roman"/>
                <w:color w:val="000000"/>
                <w:sz w:val="22"/>
                <w:szCs w:val="22"/>
                <w:lang w:val="en-US" w:eastAsia="uk-UA"/>
              </w:rPr>
              <w:t>during the analysis period</w:t>
            </w:r>
          </w:p>
        </w:tc>
      </w:tr>
      <w:tr w:rsidR="00DE0EC8" w:rsidRPr="000478B4" w:rsidTr="006E6CED">
        <w:trPr>
          <w:trHeight w:val="315"/>
          <w:jc w:val="center"/>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DE0EC8" w:rsidRPr="000478B4" w:rsidRDefault="00652FC8" w:rsidP="000478B4">
            <w:pPr>
              <w:jc w:val="left"/>
              <w:rPr>
                <w:rFonts w:eastAsia="Times New Roman"/>
                <w:color w:val="000000"/>
                <w:sz w:val="22"/>
                <w:szCs w:val="22"/>
                <w:lang w:val="en-US" w:eastAsia="uk-UA"/>
              </w:rPr>
            </w:pPr>
            <w:r w:rsidRPr="000478B4">
              <w:rPr>
                <w:rFonts w:eastAsia="Times New Roman"/>
                <w:color w:val="000000"/>
                <w:sz w:val="22"/>
                <w:szCs w:val="22"/>
                <w:lang w:val="en-US" w:eastAsia="uk-UA"/>
              </w:rPr>
              <w:t>Share of non-performing loans, total</w:t>
            </w:r>
          </w:p>
        </w:tc>
        <w:tc>
          <w:tcPr>
            <w:tcW w:w="1134" w:type="dxa"/>
            <w:tcBorders>
              <w:top w:val="nil"/>
              <w:left w:val="nil"/>
              <w:bottom w:val="single" w:sz="4" w:space="0" w:color="auto"/>
              <w:right w:val="single" w:sz="4" w:space="0" w:color="auto"/>
            </w:tcBorders>
            <w:shd w:val="clear" w:color="auto" w:fill="auto"/>
            <w:noWrap/>
            <w:vAlign w:val="center"/>
            <w:hideMark/>
          </w:tcPr>
          <w:p w:rsidR="00DE0EC8" w:rsidRPr="000478B4" w:rsidRDefault="00DE0EC8" w:rsidP="000478B4">
            <w:pPr>
              <w:ind w:left="-108"/>
              <w:jc w:val="center"/>
              <w:rPr>
                <w:rFonts w:eastAsia="Times New Roman"/>
                <w:color w:val="000000"/>
                <w:sz w:val="22"/>
                <w:szCs w:val="22"/>
                <w:lang w:val="en-US" w:eastAsia="uk-UA"/>
              </w:rPr>
            </w:pPr>
            <w:r w:rsidRPr="000478B4">
              <w:rPr>
                <w:rFonts w:eastAsia="Times New Roman"/>
                <w:color w:val="000000"/>
                <w:sz w:val="22"/>
                <w:szCs w:val="22"/>
                <w:lang w:val="en-US" w:eastAsia="uk-UA"/>
              </w:rPr>
              <w:t>53</w:t>
            </w:r>
            <w:r w:rsidR="0048150C" w:rsidRPr="000478B4">
              <w:rPr>
                <w:rFonts w:eastAsia="Times New Roman"/>
                <w:color w:val="000000"/>
                <w:sz w:val="22"/>
                <w:szCs w:val="22"/>
                <w:lang w:val="en-US" w:eastAsia="uk-UA"/>
              </w:rPr>
              <w:t>.</w:t>
            </w:r>
            <w:r w:rsidRPr="000478B4">
              <w:rPr>
                <w:rFonts w:eastAsia="Times New Roman"/>
                <w:color w:val="000000"/>
                <w:sz w:val="22"/>
                <w:szCs w:val="22"/>
                <w:lang w:val="en-US" w:eastAsia="uk-UA"/>
              </w:rPr>
              <w:t>99</w:t>
            </w:r>
          </w:p>
        </w:tc>
        <w:tc>
          <w:tcPr>
            <w:tcW w:w="1134" w:type="dxa"/>
            <w:tcBorders>
              <w:top w:val="nil"/>
              <w:left w:val="nil"/>
              <w:bottom w:val="single" w:sz="4" w:space="0" w:color="auto"/>
              <w:right w:val="single" w:sz="4" w:space="0" w:color="auto"/>
            </w:tcBorders>
            <w:shd w:val="clear" w:color="auto" w:fill="auto"/>
            <w:noWrap/>
            <w:vAlign w:val="center"/>
            <w:hideMark/>
          </w:tcPr>
          <w:p w:rsidR="00DE0EC8" w:rsidRPr="000478B4" w:rsidRDefault="00DE0EC8" w:rsidP="000478B4">
            <w:pPr>
              <w:ind w:left="-108"/>
              <w:jc w:val="center"/>
              <w:rPr>
                <w:rFonts w:eastAsia="Times New Roman"/>
                <w:color w:val="000000"/>
                <w:sz w:val="22"/>
                <w:szCs w:val="22"/>
                <w:lang w:val="en-US" w:eastAsia="uk-UA"/>
              </w:rPr>
            </w:pPr>
            <w:r w:rsidRPr="000478B4">
              <w:rPr>
                <w:rFonts w:eastAsia="Times New Roman"/>
                <w:color w:val="000000"/>
                <w:sz w:val="22"/>
                <w:szCs w:val="22"/>
                <w:lang w:val="en-US" w:eastAsia="uk-UA"/>
              </w:rPr>
              <w:t>54</w:t>
            </w:r>
            <w:r w:rsidR="0048150C" w:rsidRPr="000478B4">
              <w:rPr>
                <w:rFonts w:eastAsia="Times New Roman"/>
                <w:color w:val="000000"/>
                <w:sz w:val="22"/>
                <w:szCs w:val="22"/>
                <w:lang w:val="en-US" w:eastAsia="uk-UA"/>
              </w:rPr>
              <w:t>.</w:t>
            </w:r>
            <w:r w:rsidRPr="000478B4">
              <w:rPr>
                <w:rFonts w:eastAsia="Times New Roman"/>
                <w:color w:val="000000"/>
                <w:sz w:val="22"/>
                <w:szCs w:val="22"/>
                <w:lang w:val="en-US" w:eastAsia="uk-UA"/>
              </w:rPr>
              <w:t>54</w:t>
            </w:r>
          </w:p>
        </w:tc>
        <w:tc>
          <w:tcPr>
            <w:tcW w:w="1134" w:type="dxa"/>
            <w:tcBorders>
              <w:top w:val="nil"/>
              <w:left w:val="nil"/>
              <w:bottom w:val="single" w:sz="4" w:space="0" w:color="auto"/>
              <w:right w:val="single" w:sz="4" w:space="0" w:color="auto"/>
            </w:tcBorders>
            <w:shd w:val="clear" w:color="auto" w:fill="auto"/>
            <w:noWrap/>
            <w:vAlign w:val="center"/>
            <w:hideMark/>
          </w:tcPr>
          <w:p w:rsidR="00DE0EC8" w:rsidRPr="000478B4" w:rsidRDefault="00DE0EC8" w:rsidP="000478B4">
            <w:pPr>
              <w:ind w:left="-108"/>
              <w:jc w:val="center"/>
              <w:rPr>
                <w:rFonts w:eastAsia="Times New Roman"/>
                <w:color w:val="000000"/>
                <w:sz w:val="22"/>
                <w:szCs w:val="22"/>
                <w:lang w:val="en-US" w:eastAsia="uk-UA"/>
              </w:rPr>
            </w:pPr>
            <w:r w:rsidRPr="000478B4">
              <w:rPr>
                <w:rFonts w:eastAsia="Times New Roman"/>
                <w:color w:val="000000"/>
                <w:sz w:val="22"/>
                <w:szCs w:val="22"/>
                <w:lang w:val="en-US" w:eastAsia="uk-UA"/>
              </w:rPr>
              <w:t>52</w:t>
            </w:r>
            <w:r w:rsidR="0048150C" w:rsidRPr="000478B4">
              <w:rPr>
                <w:rFonts w:eastAsia="Times New Roman"/>
                <w:color w:val="000000"/>
                <w:sz w:val="22"/>
                <w:szCs w:val="22"/>
                <w:lang w:val="en-US" w:eastAsia="uk-UA"/>
              </w:rPr>
              <w:t>.</w:t>
            </w:r>
            <w:r w:rsidRPr="000478B4">
              <w:rPr>
                <w:rFonts w:eastAsia="Times New Roman"/>
                <w:color w:val="000000"/>
                <w:sz w:val="22"/>
                <w:szCs w:val="22"/>
                <w:lang w:val="en-US" w:eastAsia="uk-UA"/>
              </w:rPr>
              <w:t>85</w:t>
            </w:r>
          </w:p>
        </w:tc>
        <w:tc>
          <w:tcPr>
            <w:tcW w:w="1134" w:type="dxa"/>
            <w:tcBorders>
              <w:top w:val="nil"/>
              <w:left w:val="nil"/>
              <w:bottom w:val="single" w:sz="4" w:space="0" w:color="auto"/>
              <w:right w:val="single" w:sz="4" w:space="0" w:color="auto"/>
            </w:tcBorders>
            <w:shd w:val="clear" w:color="auto" w:fill="auto"/>
            <w:noWrap/>
            <w:vAlign w:val="center"/>
            <w:hideMark/>
          </w:tcPr>
          <w:p w:rsidR="00DE0EC8" w:rsidRPr="000478B4" w:rsidRDefault="00DE0EC8" w:rsidP="000478B4">
            <w:pPr>
              <w:ind w:left="-108"/>
              <w:jc w:val="center"/>
              <w:rPr>
                <w:rFonts w:eastAsia="Times New Roman"/>
                <w:color w:val="000000"/>
                <w:sz w:val="22"/>
                <w:szCs w:val="22"/>
                <w:lang w:val="en-US" w:eastAsia="uk-UA"/>
              </w:rPr>
            </w:pPr>
            <w:r w:rsidRPr="000478B4">
              <w:rPr>
                <w:rFonts w:eastAsia="Times New Roman"/>
                <w:color w:val="000000"/>
                <w:sz w:val="22"/>
                <w:szCs w:val="22"/>
                <w:lang w:val="en-US" w:eastAsia="uk-UA"/>
              </w:rPr>
              <w:t>48</w:t>
            </w:r>
            <w:r w:rsidR="0048150C" w:rsidRPr="000478B4">
              <w:rPr>
                <w:rFonts w:eastAsia="Times New Roman"/>
                <w:color w:val="000000"/>
                <w:sz w:val="22"/>
                <w:szCs w:val="22"/>
                <w:lang w:val="en-US" w:eastAsia="uk-UA"/>
              </w:rPr>
              <w:t>.</w:t>
            </w:r>
            <w:r w:rsidRPr="000478B4">
              <w:rPr>
                <w:rFonts w:eastAsia="Times New Roman"/>
                <w:color w:val="000000"/>
                <w:sz w:val="22"/>
                <w:szCs w:val="22"/>
                <w:lang w:val="en-US" w:eastAsia="uk-UA"/>
              </w:rPr>
              <w:t>36</w:t>
            </w:r>
          </w:p>
        </w:tc>
        <w:tc>
          <w:tcPr>
            <w:tcW w:w="1134" w:type="dxa"/>
            <w:tcBorders>
              <w:top w:val="nil"/>
              <w:left w:val="nil"/>
              <w:bottom w:val="single" w:sz="4" w:space="0" w:color="auto"/>
              <w:right w:val="single" w:sz="4" w:space="0" w:color="auto"/>
            </w:tcBorders>
            <w:shd w:val="clear" w:color="auto" w:fill="auto"/>
            <w:noWrap/>
            <w:vAlign w:val="center"/>
            <w:hideMark/>
          </w:tcPr>
          <w:p w:rsidR="00DE0EC8" w:rsidRPr="000478B4" w:rsidRDefault="00DE0EC8" w:rsidP="000478B4">
            <w:pPr>
              <w:ind w:left="-108"/>
              <w:jc w:val="center"/>
              <w:rPr>
                <w:rFonts w:eastAsia="Times New Roman"/>
                <w:color w:val="000000"/>
                <w:sz w:val="22"/>
                <w:szCs w:val="22"/>
                <w:lang w:val="en-US" w:eastAsia="uk-UA"/>
              </w:rPr>
            </w:pPr>
            <w:r w:rsidRPr="000478B4">
              <w:rPr>
                <w:rFonts w:eastAsia="Times New Roman"/>
                <w:color w:val="000000"/>
                <w:sz w:val="22"/>
                <w:szCs w:val="22"/>
                <w:lang w:val="en-US" w:eastAsia="uk-UA"/>
              </w:rPr>
              <w:t>-4</w:t>
            </w:r>
            <w:r w:rsidR="0048150C" w:rsidRPr="000478B4">
              <w:rPr>
                <w:rFonts w:eastAsia="Times New Roman"/>
                <w:color w:val="000000"/>
                <w:sz w:val="22"/>
                <w:szCs w:val="22"/>
                <w:lang w:val="en-US" w:eastAsia="uk-UA"/>
              </w:rPr>
              <w:t>.</w:t>
            </w:r>
            <w:r w:rsidRPr="000478B4">
              <w:rPr>
                <w:rFonts w:eastAsia="Times New Roman"/>
                <w:color w:val="000000"/>
                <w:sz w:val="22"/>
                <w:szCs w:val="22"/>
                <w:lang w:val="en-US" w:eastAsia="uk-UA"/>
              </w:rPr>
              <w:t>49</w:t>
            </w:r>
          </w:p>
        </w:tc>
        <w:tc>
          <w:tcPr>
            <w:tcW w:w="1134" w:type="dxa"/>
            <w:tcBorders>
              <w:top w:val="nil"/>
              <w:left w:val="nil"/>
              <w:bottom w:val="single" w:sz="4" w:space="0" w:color="auto"/>
              <w:right w:val="single" w:sz="4" w:space="0" w:color="auto"/>
            </w:tcBorders>
            <w:shd w:val="clear" w:color="auto" w:fill="auto"/>
            <w:noWrap/>
            <w:vAlign w:val="center"/>
            <w:hideMark/>
          </w:tcPr>
          <w:p w:rsidR="00DE0EC8" w:rsidRPr="000478B4" w:rsidRDefault="00DE0EC8" w:rsidP="000478B4">
            <w:pPr>
              <w:ind w:left="-108"/>
              <w:jc w:val="center"/>
              <w:rPr>
                <w:rFonts w:eastAsia="Times New Roman"/>
                <w:color w:val="000000"/>
                <w:sz w:val="22"/>
                <w:szCs w:val="22"/>
                <w:lang w:val="en-US" w:eastAsia="uk-UA"/>
              </w:rPr>
            </w:pPr>
            <w:r w:rsidRPr="000478B4">
              <w:rPr>
                <w:rFonts w:eastAsia="Times New Roman"/>
                <w:color w:val="000000"/>
                <w:sz w:val="22"/>
                <w:szCs w:val="22"/>
                <w:lang w:val="en-US" w:eastAsia="uk-UA"/>
              </w:rPr>
              <w:t>-5</w:t>
            </w:r>
            <w:r w:rsidR="0048150C" w:rsidRPr="000478B4">
              <w:rPr>
                <w:rFonts w:eastAsia="Times New Roman"/>
                <w:color w:val="000000"/>
                <w:sz w:val="22"/>
                <w:szCs w:val="22"/>
                <w:lang w:val="en-US" w:eastAsia="uk-UA"/>
              </w:rPr>
              <w:t>.</w:t>
            </w:r>
            <w:r w:rsidRPr="000478B4">
              <w:rPr>
                <w:rFonts w:eastAsia="Times New Roman"/>
                <w:color w:val="000000"/>
                <w:sz w:val="22"/>
                <w:szCs w:val="22"/>
                <w:lang w:val="en-US" w:eastAsia="uk-UA"/>
              </w:rPr>
              <w:t>63</w:t>
            </w:r>
          </w:p>
        </w:tc>
      </w:tr>
      <w:tr w:rsidR="00DE0EC8" w:rsidRPr="000478B4" w:rsidTr="006E6CED">
        <w:trPr>
          <w:trHeight w:val="315"/>
          <w:jc w:val="center"/>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DE0EC8" w:rsidRPr="000478B4" w:rsidRDefault="00052290" w:rsidP="000478B4">
            <w:pPr>
              <w:jc w:val="left"/>
              <w:rPr>
                <w:rFonts w:eastAsia="Times New Roman"/>
                <w:color w:val="000000"/>
                <w:sz w:val="22"/>
                <w:szCs w:val="22"/>
                <w:lang w:val="en-US" w:eastAsia="uk-UA"/>
              </w:rPr>
            </w:pPr>
            <w:r w:rsidRPr="000478B4">
              <w:rPr>
                <w:rFonts w:eastAsia="Times New Roman"/>
                <w:color w:val="000000"/>
                <w:sz w:val="22"/>
                <w:szCs w:val="22"/>
                <w:lang w:val="en-US" w:eastAsia="uk-UA"/>
              </w:rPr>
              <w:t>including in banks:</w:t>
            </w:r>
          </w:p>
        </w:tc>
        <w:tc>
          <w:tcPr>
            <w:tcW w:w="1134" w:type="dxa"/>
            <w:tcBorders>
              <w:top w:val="nil"/>
              <w:left w:val="nil"/>
              <w:bottom w:val="single" w:sz="4" w:space="0" w:color="auto"/>
              <w:right w:val="single" w:sz="4" w:space="0" w:color="auto"/>
            </w:tcBorders>
            <w:shd w:val="clear" w:color="auto" w:fill="auto"/>
            <w:noWrap/>
            <w:vAlign w:val="center"/>
            <w:hideMark/>
          </w:tcPr>
          <w:p w:rsidR="00DE0EC8" w:rsidRPr="000478B4" w:rsidRDefault="00DE0EC8" w:rsidP="000478B4">
            <w:pPr>
              <w:ind w:left="-108"/>
              <w:jc w:val="center"/>
              <w:rPr>
                <w:rFonts w:eastAsia="Times New Roman"/>
                <w:color w:val="000000"/>
                <w:sz w:val="22"/>
                <w:szCs w:val="22"/>
                <w:lang w:val="en-US" w:eastAsia="uk-UA"/>
              </w:rPr>
            </w:pPr>
          </w:p>
        </w:tc>
        <w:tc>
          <w:tcPr>
            <w:tcW w:w="1134" w:type="dxa"/>
            <w:tcBorders>
              <w:top w:val="nil"/>
              <w:left w:val="nil"/>
              <w:bottom w:val="single" w:sz="4" w:space="0" w:color="auto"/>
              <w:right w:val="single" w:sz="4" w:space="0" w:color="auto"/>
            </w:tcBorders>
            <w:shd w:val="clear" w:color="auto" w:fill="auto"/>
            <w:noWrap/>
            <w:vAlign w:val="center"/>
            <w:hideMark/>
          </w:tcPr>
          <w:p w:rsidR="00DE0EC8" w:rsidRPr="000478B4" w:rsidRDefault="00DE0EC8" w:rsidP="000478B4">
            <w:pPr>
              <w:ind w:left="-108"/>
              <w:jc w:val="center"/>
              <w:rPr>
                <w:rFonts w:eastAsia="Times New Roman"/>
                <w:color w:val="000000"/>
                <w:sz w:val="22"/>
                <w:szCs w:val="22"/>
                <w:lang w:val="en-US" w:eastAsia="uk-UA"/>
              </w:rPr>
            </w:pPr>
          </w:p>
        </w:tc>
        <w:tc>
          <w:tcPr>
            <w:tcW w:w="1134" w:type="dxa"/>
            <w:tcBorders>
              <w:top w:val="nil"/>
              <w:left w:val="nil"/>
              <w:bottom w:val="single" w:sz="4" w:space="0" w:color="auto"/>
              <w:right w:val="single" w:sz="4" w:space="0" w:color="auto"/>
            </w:tcBorders>
            <w:shd w:val="clear" w:color="auto" w:fill="auto"/>
            <w:noWrap/>
            <w:vAlign w:val="center"/>
            <w:hideMark/>
          </w:tcPr>
          <w:p w:rsidR="00DE0EC8" w:rsidRPr="000478B4" w:rsidRDefault="00DE0EC8" w:rsidP="000478B4">
            <w:pPr>
              <w:ind w:left="-108"/>
              <w:jc w:val="center"/>
              <w:rPr>
                <w:rFonts w:eastAsia="Times New Roman"/>
                <w:color w:val="000000"/>
                <w:sz w:val="22"/>
                <w:szCs w:val="22"/>
                <w:lang w:val="en-US" w:eastAsia="uk-UA"/>
              </w:rPr>
            </w:pPr>
          </w:p>
        </w:tc>
        <w:tc>
          <w:tcPr>
            <w:tcW w:w="1134" w:type="dxa"/>
            <w:tcBorders>
              <w:top w:val="nil"/>
              <w:left w:val="nil"/>
              <w:bottom w:val="single" w:sz="4" w:space="0" w:color="auto"/>
              <w:right w:val="single" w:sz="4" w:space="0" w:color="auto"/>
            </w:tcBorders>
            <w:shd w:val="clear" w:color="auto" w:fill="auto"/>
            <w:noWrap/>
            <w:vAlign w:val="center"/>
            <w:hideMark/>
          </w:tcPr>
          <w:p w:rsidR="00DE0EC8" w:rsidRPr="000478B4" w:rsidRDefault="00DE0EC8" w:rsidP="000478B4">
            <w:pPr>
              <w:ind w:left="-108"/>
              <w:jc w:val="center"/>
              <w:rPr>
                <w:rFonts w:eastAsia="Times New Roman"/>
                <w:color w:val="000000"/>
                <w:sz w:val="22"/>
                <w:szCs w:val="22"/>
                <w:lang w:val="en-US" w:eastAsia="uk-UA"/>
              </w:rPr>
            </w:pPr>
          </w:p>
        </w:tc>
        <w:tc>
          <w:tcPr>
            <w:tcW w:w="1134" w:type="dxa"/>
            <w:tcBorders>
              <w:top w:val="nil"/>
              <w:left w:val="nil"/>
              <w:bottom w:val="single" w:sz="4" w:space="0" w:color="auto"/>
              <w:right w:val="single" w:sz="4" w:space="0" w:color="auto"/>
            </w:tcBorders>
            <w:shd w:val="clear" w:color="auto" w:fill="auto"/>
            <w:noWrap/>
            <w:vAlign w:val="center"/>
          </w:tcPr>
          <w:p w:rsidR="00DE0EC8" w:rsidRPr="000478B4" w:rsidRDefault="00DE0EC8" w:rsidP="000478B4">
            <w:pPr>
              <w:ind w:left="-108"/>
              <w:jc w:val="center"/>
              <w:rPr>
                <w:rFonts w:eastAsia="Times New Roman"/>
                <w:color w:val="000000"/>
                <w:sz w:val="22"/>
                <w:szCs w:val="22"/>
                <w:lang w:val="en-US" w:eastAsia="uk-UA"/>
              </w:rPr>
            </w:pPr>
          </w:p>
        </w:tc>
        <w:tc>
          <w:tcPr>
            <w:tcW w:w="1134" w:type="dxa"/>
            <w:tcBorders>
              <w:top w:val="nil"/>
              <w:left w:val="nil"/>
              <w:bottom w:val="single" w:sz="4" w:space="0" w:color="auto"/>
              <w:right w:val="single" w:sz="4" w:space="0" w:color="auto"/>
            </w:tcBorders>
            <w:shd w:val="clear" w:color="auto" w:fill="auto"/>
            <w:noWrap/>
            <w:vAlign w:val="center"/>
          </w:tcPr>
          <w:p w:rsidR="00DE0EC8" w:rsidRPr="000478B4" w:rsidRDefault="00DE0EC8" w:rsidP="000478B4">
            <w:pPr>
              <w:ind w:left="-108"/>
              <w:jc w:val="center"/>
              <w:rPr>
                <w:rFonts w:eastAsia="Times New Roman"/>
                <w:color w:val="000000"/>
                <w:sz w:val="22"/>
                <w:szCs w:val="22"/>
                <w:lang w:val="en-US" w:eastAsia="uk-UA"/>
              </w:rPr>
            </w:pPr>
          </w:p>
        </w:tc>
      </w:tr>
      <w:tr w:rsidR="00DE0EC8" w:rsidRPr="000478B4" w:rsidTr="006E6CED">
        <w:trPr>
          <w:trHeight w:val="315"/>
          <w:jc w:val="center"/>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52290" w:rsidRPr="000478B4" w:rsidRDefault="000D6179" w:rsidP="000478B4">
            <w:pPr>
              <w:jc w:val="left"/>
              <w:rPr>
                <w:rFonts w:eastAsia="Times New Roman"/>
                <w:color w:val="000000"/>
                <w:sz w:val="22"/>
                <w:szCs w:val="22"/>
                <w:lang w:val="en-US" w:eastAsia="uk-UA"/>
              </w:rPr>
            </w:pPr>
            <w:r w:rsidRPr="000478B4">
              <w:rPr>
                <w:rFonts w:eastAsia="Times New Roman"/>
                <w:color w:val="000000"/>
                <w:sz w:val="22"/>
                <w:szCs w:val="22"/>
                <w:lang w:val="en-US" w:eastAsia="uk-UA"/>
              </w:rPr>
              <w:t xml:space="preserve">- </w:t>
            </w:r>
            <w:r w:rsidR="00052290" w:rsidRPr="000478B4">
              <w:rPr>
                <w:rFonts w:eastAsia="Times New Roman"/>
                <w:color w:val="000000"/>
                <w:sz w:val="22"/>
                <w:szCs w:val="22"/>
                <w:lang w:val="en-US" w:eastAsia="uk-UA"/>
              </w:rPr>
              <w:t>with state share,</w:t>
            </w:r>
          </w:p>
          <w:p w:rsidR="00DE0EC8" w:rsidRPr="000478B4" w:rsidRDefault="000D6179" w:rsidP="000478B4">
            <w:pPr>
              <w:jc w:val="left"/>
              <w:rPr>
                <w:rFonts w:eastAsia="Times New Roman"/>
                <w:color w:val="000000"/>
                <w:sz w:val="22"/>
                <w:szCs w:val="22"/>
                <w:lang w:val="en-US" w:eastAsia="uk-UA"/>
              </w:rPr>
            </w:pPr>
            <w:r w:rsidRPr="000478B4">
              <w:rPr>
                <w:rFonts w:eastAsia="Times New Roman"/>
                <w:color w:val="000000"/>
                <w:sz w:val="22"/>
                <w:szCs w:val="22"/>
                <w:lang w:val="en-US" w:eastAsia="uk-UA"/>
              </w:rPr>
              <w:t>among</w:t>
            </w:r>
            <w:r w:rsidR="00052290" w:rsidRPr="000478B4">
              <w:rPr>
                <w:rFonts w:eastAsia="Times New Roman"/>
                <w:color w:val="000000"/>
                <w:sz w:val="22"/>
                <w:szCs w:val="22"/>
                <w:lang w:val="en-US" w:eastAsia="uk-UA"/>
              </w:rPr>
              <w:t xml:space="preserve"> them</w:t>
            </w:r>
            <w:r w:rsidRPr="000478B4">
              <w:rPr>
                <w:rFonts w:eastAsia="Times New Roman"/>
                <w:color w:val="000000"/>
                <w:sz w:val="22"/>
                <w:szCs w:val="22"/>
                <w:lang w:val="en-US" w:eastAsia="uk-UA"/>
              </w:rPr>
              <w:t>:</w:t>
            </w:r>
          </w:p>
        </w:tc>
        <w:tc>
          <w:tcPr>
            <w:tcW w:w="1134" w:type="dxa"/>
            <w:tcBorders>
              <w:top w:val="nil"/>
              <w:left w:val="nil"/>
              <w:bottom w:val="single" w:sz="4" w:space="0" w:color="auto"/>
              <w:right w:val="single" w:sz="4" w:space="0" w:color="auto"/>
            </w:tcBorders>
            <w:shd w:val="clear" w:color="auto" w:fill="auto"/>
            <w:noWrap/>
            <w:vAlign w:val="center"/>
            <w:hideMark/>
          </w:tcPr>
          <w:p w:rsidR="00DE0EC8" w:rsidRPr="000478B4" w:rsidRDefault="00DE0EC8" w:rsidP="000478B4">
            <w:pPr>
              <w:ind w:left="-108"/>
              <w:jc w:val="center"/>
              <w:rPr>
                <w:rFonts w:eastAsia="Times New Roman"/>
                <w:color w:val="000000"/>
                <w:sz w:val="22"/>
                <w:szCs w:val="22"/>
                <w:lang w:val="en-US" w:eastAsia="uk-UA"/>
              </w:rPr>
            </w:pPr>
            <w:r w:rsidRPr="000478B4">
              <w:rPr>
                <w:rFonts w:eastAsia="Times New Roman"/>
                <w:color w:val="000000"/>
                <w:sz w:val="22"/>
                <w:szCs w:val="22"/>
                <w:lang w:val="en-US" w:eastAsia="uk-UA"/>
              </w:rPr>
              <w:t>77</w:t>
            </w:r>
            <w:r w:rsidR="0048150C" w:rsidRPr="000478B4">
              <w:rPr>
                <w:rFonts w:eastAsia="Times New Roman"/>
                <w:color w:val="000000"/>
                <w:sz w:val="22"/>
                <w:szCs w:val="22"/>
                <w:lang w:val="en-US" w:eastAsia="uk-UA"/>
              </w:rPr>
              <w:t>.</w:t>
            </w:r>
            <w:r w:rsidRPr="000478B4">
              <w:rPr>
                <w:rFonts w:eastAsia="Times New Roman"/>
                <w:color w:val="000000"/>
                <w:sz w:val="22"/>
                <w:szCs w:val="22"/>
                <w:lang w:val="en-US" w:eastAsia="uk-UA"/>
              </w:rPr>
              <w:t>23</w:t>
            </w:r>
          </w:p>
        </w:tc>
        <w:tc>
          <w:tcPr>
            <w:tcW w:w="1134" w:type="dxa"/>
            <w:tcBorders>
              <w:top w:val="nil"/>
              <w:left w:val="nil"/>
              <w:bottom w:val="single" w:sz="4" w:space="0" w:color="auto"/>
              <w:right w:val="single" w:sz="4" w:space="0" w:color="auto"/>
            </w:tcBorders>
            <w:shd w:val="clear" w:color="auto" w:fill="auto"/>
            <w:noWrap/>
            <w:vAlign w:val="center"/>
            <w:hideMark/>
          </w:tcPr>
          <w:p w:rsidR="00DE0EC8" w:rsidRPr="000478B4" w:rsidRDefault="00DE0EC8" w:rsidP="000478B4">
            <w:pPr>
              <w:ind w:left="-108"/>
              <w:jc w:val="center"/>
              <w:rPr>
                <w:rFonts w:eastAsia="Times New Roman"/>
                <w:color w:val="000000"/>
                <w:sz w:val="22"/>
                <w:szCs w:val="22"/>
                <w:lang w:val="en-US" w:eastAsia="uk-UA"/>
              </w:rPr>
            </w:pPr>
            <w:r w:rsidRPr="000478B4">
              <w:rPr>
                <w:rFonts w:eastAsia="Times New Roman"/>
                <w:color w:val="000000"/>
                <w:sz w:val="22"/>
                <w:szCs w:val="22"/>
                <w:lang w:val="en-US" w:eastAsia="uk-UA"/>
              </w:rPr>
              <w:t>71</w:t>
            </w:r>
            <w:r w:rsidR="0048150C" w:rsidRPr="000478B4">
              <w:rPr>
                <w:rFonts w:eastAsia="Times New Roman"/>
                <w:color w:val="000000"/>
                <w:sz w:val="22"/>
                <w:szCs w:val="22"/>
                <w:lang w:val="en-US" w:eastAsia="uk-UA"/>
              </w:rPr>
              <w:t>.</w:t>
            </w:r>
            <w:r w:rsidRPr="000478B4">
              <w:rPr>
                <w:rFonts w:eastAsia="Times New Roman"/>
                <w:color w:val="000000"/>
                <w:sz w:val="22"/>
                <w:szCs w:val="22"/>
                <w:lang w:val="en-US" w:eastAsia="uk-UA"/>
              </w:rPr>
              <w:t>12</w:t>
            </w:r>
          </w:p>
        </w:tc>
        <w:tc>
          <w:tcPr>
            <w:tcW w:w="1134" w:type="dxa"/>
            <w:tcBorders>
              <w:top w:val="nil"/>
              <w:left w:val="nil"/>
              <w:bottom w:val="single" w:sz="4" w:space="0" w:color="auto"/>
              <w:right w:val="single" w:sz="4" w:space="0" w:color="auto"/>
            </w:tcBorders>
            <w:shd w:val="clear" w:color="auto" w:fill="auto"/>
            <w:noWrap/>
            <w:vAlign w:val="center"/>
            <w:hideMark/>
          </w:tcPr>
          <w:p w:rsidR="00DE0EC8" w:rsidRPr="000478B4" w:rsidRDefault="00DE0EC8" w:rsidP="000478B4">
            <w:pPr>
              <w:ind w:left="-108"/>
              <w:jc w:val="center"/>
              <w:rPr>
                <w:rFonts w:eastAsia="Times New Roman"/>
                <w:color w:val="000000"/>
                <w:sz w:val="22"/>
                <w:szCs w:val="22"/>
                <w:lang w:val="en-US" w:eastAsia="uk-UA"/>
              </w:rPr>
            </w:pPr>
            <w:r w:rsidRPr="000478B4">
              <w:rPr>
                <w:rFonts w:eastAsia="Times New Roman"/>
                <w:color w:val="000000"/>
                <w:sz w:val="22"/>
                <w:szCs w:val="22"/>
                <w:lang w:val="en-US" w:eastAsia="uk-UA"/>
              </w:rPr>
              <w:t>67</w:t>
            </w:r>
            <w:r w:rsidR="0048150C" w:rsidRPr="000478B4">
              <w:rPr>
                <w:rFonts w:eastAsia="Times New Roman"/>
                <w:color w:val="000000"/>
                <w:sz w:val="22"/>
                <w:szCs w:val="22"/>
                <w:lang w:val="en-US" w:eastAsia="uk-UA"/>
              </w:rPr>
              <w:t>.</w:t>
            </w:r>
            <w:r w:rsidRPr="000478B4">
              <w:rPr>
                <w:rFonts w:eastAsia="Times New Roman"/>
                <w:color w:val="000000"/>
                <w:sz w:val="22"/>
                <w:szCs w:val="22"/>
                <w:lang w:val="en-US" w:eastAsia="uk-UA"/>
              </w:rPr>
              <w:t>92</w:t>
            </w:r>
          </w:p>
        </w:tc>
        <w:tc>
          <w:tcPr>
            <w:tcW w:w="1134" w:type="dxa"/>
            <w:tcBorders>
              <w:top w:val="nil"/>
              <w:left w:val="nil"/>
              <w:bottom w:val="single" w:sz="4" w:space="0" w:color="auto"/>
              <w:right w:val="single" w:sz="4" w:space="0" w:color="auto"/>
            </w:tcBorders>
            <w:shd w:val="clear" w:color="auto" w:fill="auto"/>
            <w:noWrap/>
            <w:vAlign w:val="center"/>
            <w:hideMark/>
          </w:tcPr>
          <w:p w:rsidR="00DE0EC8" w:rsidRPr="000478B4" w:rsidRDefault="00DE0EC8" w:rsidP="000478B4">
            <w:pPr>
              <w:ind w:left="-108"/>
              <w:jc w:val="center"/>
              <w:rPr>
                <w:rFonts w:eastAsia="Times New Roman"/>
                <w:color w:val="000000"/>
                <w:sz w:val="22"/>
                <w:szCs w:val="22"/>
                <w:lang w:val="en-US" w:eastAsia="uk-UA"/>
              </w:rPr>
            </w:pPr>
            <w:r w:rsidRPr="000478B4">
              <w:rPr>
                <w:rFonts w:eastAsia="Times New Roman"/>
                <w:color w:val="000000"/>
                <w:sz w:val="22"/>
                <w:szCs w:val="22"/>
                <w:lang w:val="en-US" w:eastAsia="uk-UA"/>
              </w:rPr>
              <w:t>63</w:t>
            </w:r>
            <w:r w:rsidR="0048150C" w:rsidRPr="000478B4">
              <w:rPr>
                <w:rFonts w:eastAsia="Times New Roman"/>
                <w:color w:val="000000"/>
                <w:sz w:val="22"/>
                <w:szCs w:val="22"/>
                <w:lang w:val="en-US" w:eastAsia="uk-UA"/>
              </w:rPr>
              <w:t>.</w:t>
            </w:r>
            <w:r w:rsidRPr="000478B4">
              <w:rPr>
                <w:rFonts w:eastAsia="Times New Roman"/>
                <w:color w:val="000000"/>
                <w:sz w:val="22"/>
                <w:szCs w:val="22"/>
                <w:lang w:val="en-US" w:eastAsia="uk-UA"/>
              </w:rPr>
              <w:t>52</w:t>
            </w:r>
          </w:p>
        </w:tc>
        <w:tc>
          <w:tcPr>
            <w:tcW w:w="1134" w:type="dxa"/>
            <w:tcBorders>
              <w:top w:val="nil"/>
              <w:left w:val="nil"/>
              <w:bottom w:val="single" w:sz="4" w:space="0" w:color="auto"/>
              <w:right w:val="single" w:sz="4" w:space="0" w:color="auto"/>
            </w:tcBorders>
            <w:shd w:val="clear" w:color="auto" w:fill="auto"/>
            <w:noWrap/>
            <w:vAlign w:val="center"/>
            <w:hideMark/>
          </w:tcPr>
          <w:p w:rsidR="00DE0EC8" w:rsidRPr="000478B4" w:rsidRDefault="00DE0EC8" w:rsidP="000478B4">
            <w:pPr>
              <w:ind w:left="-108"/>
              <w:jc w:val="center"/>
              <w:rPr>
                <w:rFonts w:eastAsia="Times New Roman"/>
                <w:color w:val="000000"/>
                <w:sz w:val="22"/>
                <w:szCs w:val="22"/>
                <w:lang w:val="en-US" w:eastAsia="uk-UA"/>
              </w:rPr>
            </w:pPr>
            <w:r w:rsidRPr="000478B4">
              <w:rPr>
                <w:rFonts w:eastAsia="Times New Roman"/>
                <w:color w:val="000000"/>
                <w:sz w:val="22"/>
                <w:szCs w:val="22"/>
                <w:lang w:val="en-US" w:eastAsia="uk-UA"/>
              </w:rPr>
              <w:t>-4</w:t>
            </w:r>
            <w:r w:rsidR="0048150C" w:rsidRPr="000478B4">
              <w:rPr>
                <w:rFonts w:eastAsia="Times New Roman"/>
                <w:color w:val="000000"/>
                <w:sz w:val="22"/>
                <w:szCs w:val="22"/>
                <w:lang w:val="en-US" w:eastAsia="uk-UA"/>
              </w:rPr>
              <w:t>.</w:t>
            </w:r>
            <w:r w:rsidRPr="000478B4">
              <w:rPr>
                <w:rFonts w:eastAsia="Times New Roman"/>
                <w:color w:val="000000"/>
                <w:sz w:val="22"/>
                <w:szCs w:val="22"/>
                <w:lang w:val="en-US" w:eastAsia="uk-UA"/>
              </w:rPr>
              <w:t>40</w:t>
            </w:r>
          </w:p>
        </w:tc>
        <w:tc>
          <w:tcPr>
            <w:tcW w:w="1134" w:type="dxa"/>
            <w:tcBorders>
              <w:top w:val="nil"/>
              <w:left w:val="nil"/>
              <w:bottom w:val="single" w:sz="4" w:space="0" w:color="auto"/>
              <w:right w:val="single" w:sz="4" w:space="0" w:color="auto"/>
            </w:tcBorders>
            <w:shd w:val="clear" w:color="auto" w:fill="auto"/>
            <w:noWrap/>
            <w:vAlign w:val="center"/>
            <w:hideMark/>
          </w:tcPr>
          <w:p w:rsidR="00DE0EC8" w:rsidRPr="000478B4" w:rsidRDefault="00DE0EC8" w:rsidP="000478B4">
            <w:pPr>
              <w:ind w:left="-108"/>
              <w:jc w:val="center"/>
              <w:rPr>
                <w:rFonts w:eastAsia="Times New Roman"/>
                <w:color w:val="000000"/>
                <w:sz w:val="22"/>
                <w:szCs w:val="22"/>
                <w:lang w:val="en-US" w:eastAsia="uk-UA"/>
              </w:rPr>
            </w:pPr>
            <w:r w:rsidRPr="000478B4">
              <w:rPr>
                <w:rFonts w:eastAsia="Times New Roman"/>
                <w:color w:val="000000"/>
                <w:sz w:val="22"/>
                <w:szCs w:val="22"/>
                <w:lang w:val="en-US" w:eastAsia="uk-UA"/>
              </w:rPr>
              <w:t>-13</w:t>
            </w:r>
            <w:r w:rsidR="0048150C" w:rsidRPr="000478B4">
              <w:rPr>
                <w:rFonts w:eastAsia="Times New Roman"/>
                <w:color w:val="000000"/>
                <w:sz w:val="22"/>
                <w:szCs w:val="22"/>
                <w:lang w:val="en-US" w:eastAsia="uk-UA"/>
              </w:rPr>
              <w:t>.</w:t>
            </w:r>
            <w:r w:rsidRPr="000478B4">
              <w:rPr>
                <w:rFonts w:eastAsia="Times New Roman"/>
                <w:color w:val="000000"/>
                <w:sz w:val="22"/>
                <w:szCs w:val="22"/>
                <w:lang w:val="en-US" w:eastAsia="uk-UA"/>
              </w:rPr>
              <w:t>71</w:t>
            </w:r>
          </w:p>
        </w:tc>
      </w:tr>
      <w:tr w:rsidR="00DE0EC8" w:rsidRPr="000478B4" w:rsidTr="006E6CED">
        <w:trPr>
          <w:trHeight w:val="315"/>
          <w:jc w:val="center"/>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DE0EC8" w:rsidRPr="000478B4" w:rsidRDefault="000D6179" w:rsidP="000478B4">
            <w:pPr>
              <w:jc w:val="left"/>
              <w:rPr>
                <w:rFonts w:eastAsia="Times New Roman"/>
                <w:color w:val="000000"/>
                <w:sz w:val="22"/>
                <w:szCs w:val="22"/>
                <w:lang w:val="en-US" w:eastAsia="uk-UA"/>
              </w:rPr>
            </w:pPr>
            <w:r w:rsidRPr="000478B4">
              <w:rPr>
                <w:rFonts w:eastAsia="Times New Roman"/>
                <w:color w:val="000000"/>
                <w:sz w:val="22"/>
                <w:szCs w:val="22"/>
                <w:lang w:val="en-US" w:eastAsia="uk-UA"/>
              </w:rPr>
              <w:t xml:space="preserve">     </w:t>
            </w:r>
            <w:r w:rsidR="00052290" w:rsidRPr="000478B4">
              <w:rPr>
                <w:rFonts w:eastAsia="Times New Roman"/>
                <w:color w:val="000000"/>
                <w:sz w:val="22"/>
                <w:szCs w:val="22"/>
                <w:lang w:val="en-US" w:eastAsia="uk-UA"/>
              </w:rPr>
              <w:t>CB</w:t>
            </w:r>
            <w:r w:rsidR="00DE0EC8" w:rsidRPr="000478B4">
              <w:rPr>
                <w:rFonts w:eastAsia="Times New Roman"/>
                <w:color w:val="000000"/>
                <w:sz w:val="22"/>
                <w:szCs w:val="22"/>
                <w:lang w:val="en-US" w:eastAsia="uk-UA"/>
              </w:rPr>
              <w:t xml:space="preserve"> «</w:t>
            </w:r>
            <w:proofErr w:type="spellStart"/>
            <w:r w:rsidR="00052290" w:rsidRPr="000478B4">
              <w:rPr>
                <w:rFonts w:eastAsia="Times New Roman"/>
                <w:color w:val="000000"/>
                <w:sz w:val="22"/>
                <w:szCs w:val="22"/>
                <w:lang w:val="en-US" w:eastAsia="uk-UA"/>
              </w:rPr>
              <w:t>PrivatBank</w:t>
            </w:r>
            <w:proofErr w:type="spellEnd"/>
            <w:r w:rsidR="00DE0EC8" w:rsidRPr="000478B4">
              <w:rPr>
                <w:rFonts w:eastAsia="Times New Roman"/>
                <w:color w:val="000000"/>
                <w:sz w:val="22"/>
                <w:szCs w:val="22"/>
                <w:lang w:val="en-US" w:eastAsia="uk-UA"/>
              </w:rPr>
              <w:t>»</w:t>
            </w:r>
          </w:p>
        </w:tc>
        <w:tc>
          <w:tcPr>
            <w:tcW w:w="1134" w:type="dxa"/>
            <w:tcBorders>
              <w:top w:val="nil"/>
              <w:left w:val="nil"/>
              <w:bottom w:val="single" w:sz="4" w:space="0" w:color="auto"/>
              <w:right w:val="single" w:sz="4" w:space="0" w:color="auto"/>
            </w:tcBorders>
            <w:shd w:val="clear" w:color="auto" w:fill="auto"/>
            <w:noWrap/>
            <w:vAlign w:val="center"/>
            <w:hideMark/>
          </w:tcPr>
          <w:p w:rsidR="00DE0EC8" w:rsidRPr="000478B4" w:rsidRDefault="00DE0EC8" w:rsidP="000478B4">
            <w:pPr>
              <w:ind w:left="-108"/>
              <w:jc w:val="center"/>
              <w:rPr>
                <w:rFonts w:eastAsia="Times New Roman"/>
                <w:color w:val="000000"/>
                <w:sz w:val="22"/>
                <w:szCs w:val="22"/>
                <w:lang w:val="en-US" w:eastAsia="uk-UA"/>
              </w:rPr>
            </w:pPr>
            <w:r w:rsidRPr="000478B4">
              <w:rPr>
                <w:rFonts w:eastAsia="Times New Roman"/>
                <w:color w:val="000000"/>
                <w:sz w:val="22"/>
                <w:szCs w:val="22"/>
                <w:lang w:val="en-US" w:eastAsia="uk-UA"/>
              </w:rPr>
              <w:t>83</w:t>
            </w:r>
            <w:r w:rsidR="0048150C" w:rsidRPr="000478B4">
              <w:rPr>
                <w:rFonts w:eastAsia="Times New Roman"/>
                <w:color w:val="000000"/>
                <w:sz w:val="22"/>
                <w:szCs w:val="22"/>
                <w:lang w:val="en-US" w:eastAsia="uk-UA"/>
              </w:rPr>
              <w:t>.</w:t>
            </w:r>
            <w:r w:rsidRPr="000478B4">
              <w:rPr>
                <w:rFonts w:eastAsia="Times New Roman"/>
                <w:color w:val="000000"/>
                <w:sz w:val="22"/>
                <w:szCs w:val="22"/>
                <w:lang w:val="en-US" w:eastAsia="uk-UA"/>
              </w:rPr>
              <w:t>00</w:t>
            </w:r>
          </w:p>
        </w:tc>
        <w:tc>
          <w:tcPr>
            <w:tcW w:w="1134" w:type="dxa"/>
            <w:tcBorders>
              <w:top w:val="nil"/>
              <w:left w:val="nil"/>
              <w:bottom w:val="single" w:sz="4" w:space="0" w:color="auto"/>
              <w:right w:val="single" w:sz="4" w:space="0" w:color="auto"/>
            </w:tcBorders>
            <w:shd w:val="clear" w:color="auto" w:fill="auto"/>
            <w:noWrap/>
            <w:vAlign w:val="center"/>
            <w:hideMark/>
          </w:tcPr>
          <w:p w:rsidR="00DE0EC8" w:rsidRPr="000478B4" w:rsidRDefault="00DE0EC8" w:rsidP="000478B4">
            <w:pPr>
              <w:ind w:left="-108"/>
              <w:jc w:val="center"/>
              <w:rPr>
                <w:rFonts w:eastAsia="Times New Roman"/>
                <w:color w:val="000000"/>
                <w:sz w:val="22"/>
                <w:szCs w:val="22"/>
                <w:lang w:val="en-US" w:eastAsia="uk-UA"/>
              </w:rPr>
            </w:pPr>
            <w:r w:rsidRPr="000478B4">
              <w:rPr>
                <w:rFonts w:eastAsia="Times New Roman"/>
                <w:color w:val="000000"/>
                <w:sz w:val="22"/>
                <w:szCs w:val="22"/>
                <w:lang w:val="en-US" w:eastAsia="uk-UA"/>
              </w:rPr>
              <w:t>87</w:t>
            </w:r>
            <w:r w:rsidR="0048150C" w:rsidRPr="000478B4">
              <w:rPr>
                <w:rFonts w:eastAsia="Times New Roman"/>
                <w:color w:val="000000"/>
                <w:sz w:val="22"/>
                <w:szCs w:val="22"/>
                <w:lang w:val="en-US" w:eastAsia="uk-UA"/>
              </w:rPr>
              <w:t>.</w:t>
            </w:r>
            <w:r w:rsidRPr="000478B4">
              <w:rPr>
                <w:rFonts w:eastAsia="Times New Roman"/>
                <w:color w:val="000000"/>
                <w:sz w:val="22"/>
                <w:szCs w:val="22"/>
                <w:lang w:val="en-US" w:eastAsia="uk-UA"/>
              </w:rPr>
              <w:t>64</w:t>
            </w:r>
          </w:p>
        </w:tc>
        <w:tc>
          <w:tcPr>
            <w:tcW w:w="1134" w:type="dxa"/>
            <w:tcBorders>
              <w:top w:val="nil"/>
              <w:left w:val="nil"/>
              <w:bottom w:val="single" w:sz="4" w:space="0" w:color="auto"/>
              <w:right w:val="single" w:sz="4" w:space="0" w:color="auto"/>
            </w:tcBorders>
            <w:shd w:val="clear" w:color="auto" w:fill="auto"/>
            <w:noWrap/>
            <w:vAlign w:val="center"/>
            <w:hideMark/>
          </w:tcPr>
          <w:p w:rsidR="00DE0EC8" w:rsidRPr="000478B4" w:rsidRDefault="00DE0EC8" w:rsidP="000478B4">
            <w:pPr>
              <w:ind w:left="-108"/>
              <w:jc w:val="center"/>
              <w:rPr>
                <w:rFonts w:eastAsia="Times New Roman"/>
                <w:color w:val="000000"/>
                <w:sz w:val="22"/>
                <w:szCs w:val="22"/>
                <w:lang w:val="en-US" w:eastAsia="uk-UA"/>
              </w:rPr>
            </w:pPr>
            <w:r w:rsidRPr="000478B4">
              <w:rPr>
                <w:rFonts w:eastAsia="Times New Roman"/>
                <w:color w:val="000000"/>
                <w:sz w:val="22"/>
                <w:szCs w:val="22"/>
                <w:lang w:val="en-US" w:eastAsia="uk-UA"/>
              </w:rPr>
              <w:t>83</w:t>
            </w:r>
            <w:r w:rsidR="0048150C" w:rsidRPr="000478B4">
              <w:rPr>
                <w:rFonts w:eastAsia="Times New Roman"/>
                <w:color w:val="000000"/>
                <w:sz w:val="22"/>
                <w:szCs w:val="22"/>
                <w:lang w:val="en-US" w:eastAsia="uk-UA"/>
              </w:rPr>
              <w:t>.</w:t>
            </w:r>
            <w:r w:rsidRPr="000478B4">
              <w:rPr>
                <w:rFonts w:eastAsia="Times New Roman"/>
                <w:color w:val="000000"/>
                <w:sz w:val="22"/>
                <w:szCs w:val="22"/>
                <w:lang w:val="en-US" w:eastAsia="uk-UA"/>
              </w:rPr>
              <w:t>35</w:t>
            </w:r>
          </w:p>
        </w:tc>
        <w:tc>
          <w:tcPr>
            <w:tcW w:w="1134" w:type="dxa"/>
            <w:tcBorders>
              <w:top w:val="nil"/>
              <w:left w:val="nil"/>
              <w:bottom w:val="single" w:sz="4" w:space="0" w:color="auto"/>
              <w:right w:val="single" w:sz="4" w:space="0" w:color="auto"/>
            </w:tcBorders>
            <w:shd w:val="clear" w:color="auto" w:fill="auto"/>
            <w:noWrap/>
            <w:vAlign w:val="center"/>
            <w:hideMark/>
          </w:tcPr>
          <w:p w:rsidR="00DE0EC8" w:rsidRPr="000478B4" w:rsidRDefault="00DE0EC8" w:rsidP="000478B4">
            <w:pPr>
              <w:ind w:left="-108"/>
              <w:jc w:val="center"/>
              <w:rPr>
                <w:rFonts w:eastAsia="Times New Roman"/>
                <w:color w:val="000000"/>
                <w:sz w:val="22"/>
                <w:szCs w:val="22"/>
                <w:lang w:val="en-US" w:eastAsia="uk-UA"/>
              </w:rPr>
            </w:pPr>
            <w:r w:rsidRPr="000478B4">
              <w:rPr>
                <w:rFonts w:eastAsia="Times New Roman"/>
                <w:color w:val="000000"/>
                <w:sz w:val="22"/>
                <w:szCs w:val="22"/>
                <w:lang w:val="en-US" w:eastAsia="uk-UA"/>
              </w:rPr>
              <w:t>78</w:t>
            </w:r>
            <w:r w:rsidR="0048150C" w:rsidRPr="000478B4">
              <w:rPr>
                <w:rFonts w:eastAsia="Times New Roman"/>
                <w:color w:val="000000"/>
                <w:sz w:val="22"/>
                <w:szCs w:val="22"/>
                <w:lang w:val="en-US" w:eastAsia="uk-UA"/>
              </w:rPr>
              <w:t>.</w:t>
            </w:r>
            <w:r w:rsidRPr="000478B4">
              <w:rPr>
                <w:rFonts w:eastAsia="Times New Roman"/>
                <w:color w:val="000000"/>
                <w:sz w:val="22"/>
                <w:szCs w:val="22"/>
                <w:lang w:val="en-US" w:eastAsia="uk-UA"/>
              </w:rPr>
              <w:t>38</w:t>
            </w:r>
          </w:p>
        </w:tc>
        <w:tc>
          <w:tcPr>
            <w:tcW w:w="1134" w:type="dxa"/>
            <w:tcBorders>
              <w:top w:val="nil"/>
              <w:left w:val="nil"/>
              <w:bottom w:val="single" w:sz="4" w:space="0" w:color="auto"/>
              <w:right w:val="single" w:sz="4" w:space="0" w:color="auto"/>
            </w:tcBorders>
            <w:shd w:val="clear" w:color="auto" w:fill="auto"/>
            <w:noWrap/>
            <w:vAlign w:val="center"/>
            <w:hideMark/>
          </w:tcPr>
          <w:p w:rsidR="00DE0EC8" w:rsidRPr="000478B4" w:rsidRDefault="00DE0EC8" w:rsidP="000478B4">
            <w:pPr>
              <w:ind w:left="-108"/>
              <w:jc w:val="center"/>
              <w:rPr>
                <w:rFonts w:eastAsia="Times New Roman"/>
                <w:color w:val="000000"/>
                <w:sz w:val="22"/>
                <w:szCs w:val="22"/>
                <w:lang w:val="en-US" w:eastAsia="uk-UA"/>
              </w:rPr>
            </w:pPr>
            <w:r w:rsidRPr="000478B4">
              <w:rPr>
                <w:rFonts w:eastAsia="Times New Roman"/>
                <w:color w:val="000000"/>
                <w:sz w:val="22"/>
                <w:szCs w:val="22"/>
                <w:lang w:val="en-US" w:eastAsia="uk-UA"/>
              </w:rPr>
              <w:t>-4</w:t>
            </w:r>
            <w:r w:rsidR="0048150C" w:rsidRPr="000478B4">
              <w:rPr>
                <w:rFonts w:eastAsia="Times New Roman"/>
                <w:color w:val="000000"/>
                <w:sz w:val="22"/>
                <w:szCs w:val="22"/>
                <w:lang w:val="en-US" w:eastAsia="uk-UA"/>
              </w:rPr>
              <w:t>.</w:t>
            </w:r>
            <w:r w:rsidRPr="000478B4">
              <w:rPr>
                <w:rFonts w:eastAsia="Times New Roman"/>
                <w:color w:val="000000"/>
                <w:sz w:val="22"/>
                <w:szCs w:val="22"/>
                <w:lang w:val="en-US" w:eastAsia="uk-UA"/>
              </w:rPr>
              <w:t>97</w:t>
            </w:r>
          </w:p>
        </w:tc>
        <w:tc>
          <w:tcPr>
            <w:tcW w:w="1134" w:type="dxa"/>
            <w:tcBorders>
              <w:top w:val="nil"/>
              <w:left w:val="nil"/>
              <w:bottom w:val="single" w:sz="4" w:space="0" w:color="auto"/>
              <w:right w:val="single" w:sz="4" w:space="0" w:color="auto"/>
            </w:tcBorders>
            <w:shd w:val="clear" w:color="auto" w:fill="auto"/>
            <w:noWrap/>
            <w:vAlign w:val="center"/>
            <w:hideMark/>
          </w:tcPr>
          <w:p w:rsidR="00DE0EC8" w:rsidRPr="000478B4" w:rsidRDefault="00DE0EC8" w:rsidP="000478B4">
            <w:pPr>
              <w:ind w:left="-108"/>
              <w:jc w:val="center"/>
              <w:rPr>
                <w:rFonts w:eastAsia="Times New Roman"/>
                <w:color w:val="000000"/>
                <w:sz w:val="22"/>
                <w:szCs w:val="22"/>
                <w:lang w:val="en-US" w:eastAsia="uk-UA"/>
              </w:rPr>
            </w:pPr>
            <w:r w:rsidRPr="000478B4">
              <w:rPr>
                <w:rFonts w:eastAsia="Times New Roman"/>
                <w:color w:val="000000"/>
                <w:sz w:val="22"/>
                <w:szCs w:val="22"/>
                <w:lang w:val="en-US" w:eastAsia="uk-UA"/>
              </w:rPr>
              <w:t>-4</w:t>
            </w:r>
            <w:r w:rsidR="0048150C" w:rsidRPr="000478B4">
              <w:rPr>
                <w:rFonts w:eastAsia="Times New Roman"/>
                <w:color w:val="000000"/>
                <w:sz w:val="22"/>
                <w:szCs w:val="22"/>
                <w:lang w:val="en-US" w:eastAsia="uk-UA"/>
              </w:rPr>
              <w:t>.</w:t>
            </w:r>
            <w:r w:rsidRPr="000478B4">
              <w:rPr>
                <w:rFonts w:eastAsia="Times New Roman"/>
                <w:color w:val="000000"/>
                <w:sz w:val="22"/>
                <w:szCs w:val="22"/>
                <w:lang w:val="en-US" w:eastAsia="uk-UA"/>
              </w:rPr>
              <w:t>62</w:t>
            </w:r>
          </w:p>
        </w:tc>
      </w:tr>
      <w:tr w:rsidR="00DE0EC8" w:rsidRPr="000478B4" w:rsidTr="006E6CED">
        <w:trPr>
          <w:trHeight w:val="315"/>
          <w:jc w:val="center"/>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DE0EC8" w:rsidRPr="000478B4" w:rsidRDefault="000D6179" w:rsidP="000478B4">
            <w:pPr>
              <w:ind w:right="-108"/>
              <w:jc w:val="left"/>
              <w:rPr>
                <w:rFonts w:eastAsia="Times New Roman"/>
                <w:color w:val="000000"/>
                <w:sz w:val="22"/>
                <w:szCs w:val="22"/>
                <w:lang w:val="en-US" w:eastAsia="uk-UA"/>
              </w:rPr>
            </w:pPr>
            <w:r w:rsidRPr="000478B4">
              <w:rPr>
                <w:rFonts w:eastAsia="Times New Roman"/>
                <w:color w:val="000000"/>
                <w:sz w:val="22"/>
                <w:szCs w:val="22"/>
                <w:lang w:val="en-US" w:eastAsia="uk-UA"/>
              </w:rPr>
              <w:t>-</w:t>
            </w:r>
            <w:r w:rsidR="00052290" w:rsidRPr="000478B4">
              <w:rPr>
                <w:rFonts w:eastAsia="Times New Roman"/>
                <w:color w:val="000000"/>
                <w:sz w:val="22"/>
                <w:szCs w:val="22"/>
                <w:lang w:val="en-US" w:eastAsia="uk-UA"/>
              </w:rPr>
              <w:t>with state share</w:t>
            </w:r>
            <w:r w:rsidR="00652FC8" w:rsidRPr="000478B4">
              <w:rPr>
                <w:rFonts w:eastAsia="Times New Roman"/>
                <w:color w:val="000000"/>
                <w:sz w:val="22"/>
                <w:szCs w:val="22"/>
                <w:lang w:val="en-US" w:eastAsia="uk-UA"/>
              </w:rPr>
              <w:t>,</w:t>
            </w:r>
            <w:r w:rsidR="00DE0EC8" w:rsidRPr="000478B4">
              <w:rPr>
                <w:rFonts w:eastAsia="Times New Roman"/>
                <w:color w:val="000000"/>
                <w:sz w:val="22"/>
                <w:szCs w:val="22"/>
                <w:lang w:val="en-US" w:eastAsia="uk-UA"/>
              </w:rPr>
              <w:t xml:space="preserve"> </w:t>
            </w:r>
            <w:r w:rsidR="00052290" w:rsidRPr="000478B4">
              <w:rPr>
                <w:rFonts w:eastAsia="Times New Roman"/>
                <w:color w:val="000000"/>
                <w:sz w:val="22"/>
                <w:szCs w:val="22"/>
                <w:lang w:val="en-US" w:eastAsia="uk-UA"/>
              </w:rPr>
              <w:t>except               CB "</w:t>
            </w:r>
            <w:proofErr w:type="spellStart"/>
            <w:r w:rsidR="00052290" w:rsidRPr="000478B4">
              <w:rPr>
                <w:rFonts w:eastAsia="Times New Roman"/>
                <w:color w:val="000000"/>
                <w:sz w:val="22"/>
                <w:szCs w:val="22"/>
                <w:lang w:val="en-US" w:eastAsia="uk-UA"/>
              </w:rPr>
              <w:t>PrivatBank</w:t>
            </w:r>
            <w:proofErr w:type="spellEnd"/>
            <w:r w:rsidR="00052290" w:rsidRPr="000478B4">
              <w:rPr>
                <w:rFonts w:eastAsia="Times New Roman"/>
                <w:color w:val="000000"/>
                <w:sz w:val="22"/>
                <w:szCs w:val="22"/>
                <w:lang w:val="en-US" w:eastAsia="uk-UA"/>
              </w:rPr>
              <w:t>"</w:t>
            </w:r>
          </w:p>
        </w:tc>
        <w:tc>
          <w:tcPr>
            <w:tcW w:w="1134" w:type="dxa"/>
            <w:tcBorders>
              <w:top w:val="nil"/>
              <w:left w:val="nil"/>
              <w:bottom w:val="single" w:sz="4" w:space="0" w:color="auto"/>
              <w:right w:val="single" w:sz="4" w:space="0" w:color="auto"/>
            </w:tcBorders>
            <w:shd w:val="clear" w:color="auto" w:fill="auto"/>
            <w:noWrap/>
            <w:vAlign w:val="center"/>
            <w:hideMark/>
          </w:tcPr>
          <w:p w:rsidR="00DE0EC8" w:rsidRPr="000478B4" w:rsidRDefault="00DE0EC8" w:rsidP="000478B4">
            <w:pPr>
              <w:ind w:left="-108"/>
              <w:jc w:val="center"/>
              <w:rPr>
                <w:rFonts w:eastAsia="Times New Roman"/>
                <w:color w:val="000000"/>
                <w:sz w:val="22"/>
                <w:szCs w:val="22"/>
                <w:lang w:val="en-US" w:eastAsia="uk-UA"/>
              </w:rPr>
            </w:pPr>
            <w:r w:rsidRPr="000478B4">
              <w:rPr>
                <w:rFonts w:eastAsia="Times New Roman"/>
                <w:color w:val="000000"/>
                <w:sz w:val="22"/>
                <w:szCs w:val="22"/>
                <w:lang w:val="en-US" w:eastAsia="uk-UA"/>
              </w:rPr>
              <w:t>29</w:t>
            </w:r>
            <w:r w:rsidR="0048150C" w:rsidRPr="000478B4">
              <w:rPr>
                <w:rFonts w:eastAsia="Times New Roman"/>
                <w:color w:val="000000"/>
                <w:sz w:val="22"/>
                <w:szCs w:val="22"/>
                <w:lang w:val="en-US" w:eastAsia="uk-UA"/>
              </w:rPr>
              <w:t>.</w:t>
            </w:r>
            <w:r w:rsidRPr="000478B4">
              <w:rPr>
                <w:rFonts w:eastAsia="Times New Roman"/>
                <w:color w:val="000000"/>
                <w:sz w:val="22"/>
                <w:szCs w:val="22"/>
                <w:lang w:val="en-US" w:eastAsia="uk-UA"/>
              </w:rPr>
              <w:t>37</w:t>
            </w:r>
          </w:p>
        </w:tc>
        <w:tc>
          <w:tcPr>
            <w:tcW w:w="1134" w:type="dxa"/>
            <w:tcBorders>
              <w:top w:val="nil"/>
              <w:left w:val="nil"/>
              <w:bottom w:val="single" w:sz="4" w:space="0" w:color="auto"/>
              <w:right w:val="single" w:sz="4" w:space="0" w:color="auto"/>
            </w:tcBorders>
            <w:shd w:val="clear" w:color="auto" w:fill="auto"/>
            <w:noWrap/>
            <w:vAlign w:val="center"/>
            <w:hideMark/>
          </w:tcPr>
          <w:p w:rsidR="00DE0EC8" w:rsidRPr="000478B4" w:rsidRDefault="00DE0EC8" w:rsidP="000478B4">
            <w:pPr>
              <w:ind w:left="-108"/>
              <w:jc w:val="center"/>
              <w:rPr>
                <w:rFonts w:eastAsia="Times New Roman"/>
                <w:color w:val="000000"/>
                <w:sz w:val="22"/>
                <w:szCs w:val="22"/>
                <w:lang w:val="en-US" w:eastAsia="uk-UA"/>
              </w:rPr>
            </w:pPr>
            <w:r w:rsidRPr="000478B4">
              <w:rPr>
                <w:rFonts w:eastAsia="Times New Roman"/>
                <w:color w:val="000000"/>
                <w:sz w:val="22"/>
                <w:szCs w:val="22"/>
                <w:lang w:val="en-US" w:eastAsia="uk-UA"/>
              </w:rPr>
              <w:t>55</w:t>
            </w:r>
            <w:r w:rsidR="0048150C" w:rsidRPr="000478B4">
              <w:rPr>
                <w:rFonts w:eastAsia="Times New Roman"/>
                <w:color w:val="000000"/>
                <w:sz w:val="22"/>
                <w:szCs w:val="22"/>
                <w:lang w:val="en-US" w:eastAsia="uk-UA"/>
              </w:rPr>
              <w:t>.</w:t>
            </w:r>
            <w:r w:rsidRPr="000478B4">
              <w:rPr>
                <w:rFonts w:eastAsia="Times New Roman"/>
                <w:color w:val="000000"/>
                <w:sz w:val="22"/>
                <w:szCs w:val="22"/>
                <w:lang w:val="en-US" w:eastAsia="uk-UA"/>
              </w:rPr>
              <w:t>75</w:t>
            </w:r>
          </w:p>
        </w:tc>
        <w:tc>
          <w:tcPr>
            <w:tcW w:w="1134" w:type="dxa"/>
            <w:tcBorders>
              <w:top w:val="nil"/>
              <w:left w:val="nil"/>
              <w:bottom w:val="single" w:sz="4" w:space="0" w:color="auto"/>
              <w:right w:val="single" w:sz="4" w:space="0" w:color="auto"/>
            </w:tcBorders>
            <w:shd w:val="clear" w:color="auto" w:fill="auto"/>
            <w:noWrap/>
            <w:vAlign w:val="center"/>
            <w:hideMark/>
          </w:tcPr>
          <w:p w:rsidR="00DE0EC8" w:rsidRPr="000478B4" w:rsidRDefault="00DE0EC8" w:rsidP="000478B4">
            <w:pPr>
              <w:ind w:left="-108"/>
              <w:jc w:val="center"/>
              <w:rPr>
                <w:rFonts w:eastAsia="Times New Roman"/>
                <w:color w:val="000000"/>
                <w:sz w:val="22"/>
                <w:szCs w:val="22"/>
                <w:lang w:val="en-US" w:eastAsia="uk-UA"/>
              </w:rPr>
            </w:pPr>
            <w:r w:rsidRPr="000478B4">
              <w:rPr>
                <w:rFonts w:eastAsia="Times New Roman"/>
                <w:color w:val="000000"/>
                <w:sz w:val="22"/>
                <w:szCs w:val="22"/>
                <w:lang w:val="en-US" w:eastAsia="uk-UA"/>
              </w:rPr>
              <w:t>54</w:t>
            </w:r>
            <w:r w:rsidR="0048150C" w:rsidRPr="000478B4">
              <w:rPr>
                <w:rFonts w:eastAsia="Times New Roman"/>
                <w:color w:val="000000"/>
                <w:sz w:val="22"/>
                <w:szCs w:val="22"/>
                <w:lang w:val="en-US" w:eastAsia="uk-UA"/>
              </w:rPr>
              <w:t>.</w:t>
            </w:r>
            <w:r w:rsidRPr="000478B4">
              <w:rPr>
                <w:rFonts w:eastAsia="Times New Roman"/>
                <w:color w:val="000000"/>
                <w:sz w:val="22"/>
                <w:szCs w:val="22"/>
                <w:lang w:val="en-US" w:eastAsia="uk-UA"/>
              </w:rPr>
              <w:t>96</w:t>
            </w:r>
          </w:p>
        </w:tc>
        <w:tc>
          <w:tcPr>
            <w:tcW w:w="1134" w:type="dxa"/>
            <w:tcBorders>
              <w:top w:val="nil"/>
              <w:left w:val="nil"/>
              <w:bottom w:val="single" w:sz="4" w:space="0" w:color="auto"/>
              <w:right w:val="single" w:sz="4" w:space="0" w:color="auto"/>
            </w:tcBorders>
            <w:shd w:val="clear" w:color="auto" w:fill="auto"/>
            <w:noWrap/>
            <w:vAlign w:val="center"/>
            <w:hideMark/>
          </w:tcPr>
          <w:p w:rsidR="00DE0EC8" w:rsidRPr="000478B4" w:rsidRDefault="00DE0EC8" w:rsidP="000478B4">
            <w:pPr>
              <w:ind w:left="-108"/>
              <w:jc w:val="center"/>
              <w:rPr>
                <w:rFonts w:eastAsia="Times New Roman"/>
                <w:color w:val="000000"/>
                <w:sz w:val="22"/>
                <w:szCs w:val="22"/>
                <w:lang w:val="en-US" w:eastAsia="uk-UA"/>
              </w:rPr>
            </w:pPr>
            <w:r w:rsidRPr="000478B4">
              <w:rPr>
                <w:rFonts w:eastAsia="Times New Roman"/>
                <w:color w:val="000000"/>
                <w:sz w:val="22"/>
                <w:szCs w:val="22"/>
                <w:lang w:val="en-US" w:eastAsia="uk-UA"/>
              </w:rPr>
              <w:t>49</w:t>
            </w:r>
            <w:r w:rsidR="0048150C" w:rsidRPr="000478B4">
              <w:rPr>
                <w:rFonts w:eastAsia="Times New Roman"/>
                <w:color w:val="000000"/>
                <w:sz w:val="22"/>
                <w:szCs w:val="22"/>
                <w:lang w:val="en-US" w:eastAsia="uk-UA"/>
              </w:rPr>
              <w:t>.</w:t>
            </w:r>
            <w:r w:rsidRPr="000478B4">
              <w:rPr>
                <w:rFonts w:eastAsia="Times New Roman"/>
                <w:color w:val="000000"/>
                <w:sz w:val="22"/>
                <w:szCs w:val="22"/>
                <w:lang w:val="en-US" w:eastAsia="uk-UA"/>
              </w:rPr>
              <w:t>33</w:t>
            </w:r>
          </w:p>
        </w:tc>
        <w:tc>
          <w:tcPr>
            <w:tcW w:w="1134" w:type="dxa"/>
            <w:tcBorders>
              <w:top w:val="nil"/>
              <w:left w:val="nil"/>
              <w:bottom w:val="single" w:sz="4" w:space="0" w:color="auto"/>
              <w:right w:val="single" w:sz="4" w:space="0" w:color="auto"/>
            </w:tcBorders>
            <w:shd w:val="clear" w:color="auto" w:fill="auto"/>
            <w:noWrap/>
            <w:vAlign w:val="center"/>
            <w:hideMark/>
          </w:tcPr>
          <w:p w:rsidR="00DE0EC8" w:rsidRPr="000478B4" w:rsidRDefault="00DE0EC8" w:rsidP="000478B4">
            <w:pPr>
              <w:ind w:left="-108"/>
              <w:jc w:val="center"/>
              <w:rPr>
                <w:rFonts w:eastAsia="Times New Roman"/>
                <w:color w:val="000000"/>
                <w:sz w:val="22"/>
                <w:szCs w:val="22"/>
                <w:lang w:val="en-US" w:eastAsia="uk-UA"/>
              </w:rPr>
            </w:pPr>
            <w:r w:rsidRPr="000478B4">
              <w:rPr>
                <w:rFonts w:eastAsia="Times New Roman"/>
                <w:color w:val="000000"/>
                <w:sz w:val="22"/>
                <w:szCs w:val="22"/>
                <w:lang w:val="en-US" w:eastAsia="uk-UA"/>
              </w:rPr>
              <w:t>-5</w:t>
            </w:r>
            <w:r w:rsidR="0048150C" w:rsidRPr="000478B4">
              <w:rPr>
                <w:rFonts w:eastAsia="Times New Roman"/>
                <w:color w:val="000000"/>
                <w:sz w:val="22"/>
                <w:szCs w:val="22"/>
                <w:lang w:val="en-US" w:eastAsia="uk-UA"/>
              </w:rPr>
              <w:t>.</w:t>
            </w:r>
            <w:r w:rsidRPr="000478B4">
              <w:rPr>
                <w:rFonts w:eastAsia="Times New Roman"/>
                <w:color w:val="000000"/>
                <w:sz w:val="22"/>
                <w:szCs w:val="22"/>
                <w:lang w:val="en-US" w:eastAsia="uk-UA"/>
              </w:rPr>
              <w:t>63</w:t>
            </w:r>
          </w:p>
        </w:tc>
        <w:tc>
          <w:tcPr>
            <w:tcW w:w="1134" w:type="dxa"/>
            <w:tcBorders>
              <w:top w:val="nil"/>
              <w:left w:val="nil"/>
              <w:bottom w:val="single" w:sz="4" w:space="0" w:color="auto"/>
              <w:right w:val="single" w:sz="4" w:space="0" w:color="auto"/>
            </w:tcBorders>
            <w:shd w:val="clear" w:color="auto" w:fill="auto"/>
            <w:noWrap/>
            <w:vAlign w:val="center"/>
            <w:hideMark/>
          </w:tcPr>
          <w:p w:rsidR="00DE0EC8" w:rsidRPr="000478B4" w:rsidRDefault="00DE0EC8" w:rsidP="000478B4">
            <w:pPr>
              <w:ind w:left="-108"/>
              <w:jc w:val="center"/>
              <w:rPr>
                <w:rFonts w:eastAsia="Times New Roman"/>
                <w:color w:val="000000"/>
                <w:sz w:val="22"/>
                <w:szCs w:val="22"/>
                <w:lang w:val="en-US" w:eastAsia="uk-UA"/>
              </w:rPr>
            </w:pPr>
            <w:r w:rsidRPr="000478B4">
              <w:rPr>
                <w:rFonts w:eastAsia="Times New Roman"/>
                <w:color w:val="000000"/>
                <w:sz w:val="22"/>
                <w:szCs w:val="22"/>
                <w:lang w:val="en-US" w:eastAsia="uk-UA"/>
              </w:rPr>
              <w:t>19</w:t>
            </w:r>
            <w:r w:rsidR="0048150C" w:rsidRPr="000478B4">
              <w:rPr>
                <w:rFonts w:eastAsia="Times New Roman"/>
                <w:color w:val="000000"/>
                <w:sz w:val="22"/>
                <w:szCs w:val="22"/>
                <w:lang w:val="en-US" w:eastAsia="uk-UA"/>
              </w:rPr>
              <w:t>.</w:t>
            </w:r>
            <w:r w:rsidRPr="000478B4">
              <w:rPr>
                <w:rFonts w:eastAsia="Times New Roman"/>
                <w:color w:val="000000"/>
                <w:sz w:val="22"/>
                <w:szCs w:val="22"/>
                <w:lang w:val="en-US" w:eastAsia="uk-UA"/>
              </w:rPr>
              <w:t>96</w:t>
            </w:r>
          </w:p>
        </w:tc>
      </w:tr>
      <w:tr w:rsidR="00DE0EC8" w:rsidRPr="000478B4" w:rsidTr="006E6CED">
        <w:trPr>
          <w:trHeight w:val="315"/>
          <w:jc w:val="center"/>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DE0EC8" w:rsidRPr="000478B4" w:rsidRDefault="000D6179" w:rsidP="000478B4">
            <w:pPr>
              <w:jc w:val="left"/>
              <w:rPr>
                <w:rFonts w:eastAsia="Times New Roman"/>
                <w:color w:val="000000"/>
                <w:sz w:val="22"/>
                <w:szCs w:val="22"/>
                <w:lang w:val="en-US" w:eastAsia="uk-UA"/>
              </w:rPr>
            </w:pPr>
            <w:r w:rsidRPr="000478B4">
              <w:rPr>
                <w:rFonts w:eastAsia="Times New Roman"/>
                <w:color w:val="000000"/>
                <w:sz w:val="22"/>
                <w:szCs w:val="22"/>
                <w:lang w:val="en-US" w:eastAsia="uk-UA"/>
              </w:rPr>
              <w:t>-</w:t>
            </w:r>
            <w:r w:rsidR="00052290" w:rsidRPr="000478B4">
              <w:rPr>
                <w:rFonts w:eastAsia="Times New Roman"/>
                <w:color w:val="000000"/>
                <w:sz w:val="22"/>
                <w:szCs w:val="22"/>
                <w:lang w:val="en-US" w:eastAsia="uk-UA"/>
              </w:rPr>
              <w:t>of foreign bank groups</w:t>
            </w:r>
          </w:p>
        </w:tc>
        <w:tc>
          <w:tcPr>
            <w:tcW w:w="1134" w:type="dxa"/>
            <w:tcBorders>
              <w:top w:val="nil"/>
              <w:left w:val="nil"/>
              <w:bottom w:val="single" w:sz="4" w:space="0" w:color="auto"/>
              <w:right w:val="single" w:sz="4" w:space="0" w:color="auto"/>
            </w:tcBorders>
            <w:shd w:val="clear" w:color="auto" w:fill="auto"/>
            <w:noWrap/>
            <w:vAlign w:val="center"/>
            <w:hideMark/>
          </w:tcPr>
          <w:p w:rsidR="00DE0EC8" w:rsidRPr="000478B4" w:rsidRDefault="00DE0EC8" w:rsidP="000478B4">
            <w:pPr>
              <w:ind w:left="-108"/>
              <w:jc w:val="center"/>
              <w:rPr>
                <w:rFonts w:eastAsia="Times New Roman"/>
                <w:color w:val="000000"/>
                <w:sz w:val="22"/>
                <w:szCs w:val="22"/>
                <w:lang w:val="en-US" w:eastAsia="uk-UA"/>
              </w:rPr>
            </w:pPr>
            <w:r w:rsidRPr="000478B4">
              <w:rPr>
                <w:rFonts w:eastAsia="Times New Roman"/>
                <w:color w:val="000000"/>
                <w:sz w:val="22"/>
                <w:szCs w:val="22"/>
                <w:lang w:val="en-US" w:eastAsia="uk-UA"/>
              </w:rPr>
              <w:t>49</w:t>
            </w:r>
            <w:r w:rsidR="0048150C" w:rsidRPr="000478B4">
              <w:rPr>
                <w:rFonts w:eastAsia="Times New Roman"/>
                <w:color w:val="000000"/>
                <w:sz w:val="22"/>
                <w:szCs w:val="22"/>
                <w:lang w:val="en-US" w:eastAsia="uk-UA"/>
              </w:rPr>
              <w:t>.</w:t>
            </w:r>
            <w:r w:rsidRPr="000478B4">
              <w:rPr>
                <w:rFonts w:eastAsia="Times New Roman"/>
                <w:color w:val="000000"/>
                <w:sz w:val="22"/>
                <w:szCs w:val="22"/>
                <w:lang w:val="en-US" w:eastAsia="uk-UA"/>
              </w:rPr>
              <w:t>66</w:t>
            </w:r>
          </w:p>
        </w:tc>
        <w:tc>
          <w:tcPr>
            <w:tcW w:w="1134" w:type="dxa"/>
            <w:tcBorders>
              <w:top w:val="nil"/>
              <w:left w:val="nil"/>
              <w:bottom w:val="single" w:sz="4" w:space="0" w:color="auto"/>
              <w:right w:val="single" w:sz="4" w:space="0" w:color="auto"/>
            </w:tcBorders>
            <w:shd w:val="clear" w:color="auto" w:fill="auto"/>
            <w:noWrap/>
            <w:vAlign w:val="center"/>
            <w:hideMark/>
          </w:tcPr>
          <w:p w:rsidR="00DE0EC8" w:rsidRPr="000478B4" w:rsidRDefault="00DE0EC8" w:rsidP="000478B4">
            <w:pPr>
              <w:ind w:left="-108"/>
              <w:jc w:val="center"/>
              <w:rPr>
                <w:rFonts w:eastAsia="Times New Roman"/>
                <w:color w:val="000000"/>
                <w:sz w:val="22"/>
                <w:szCs w:val="22"/>
                <w:lang w:val="en-US" w:eastAsia="uk-UA"/>
              </w:rPr>
            </w:pPr>
            <w:r w:rsidRPr="000478B4">
              <w:rPr>
                <w:rFonts w:eastAsia="Times New Roman"/>
                <w:color w:val="000000"/>
                <w:sz w:val="22"/>
                <w:szCs w:val="22"/>
                <w:lang w:val="en-US" w:eastAsia="uk-UA"/>
              </w:rPr>
              <w:t>41</w:t>
            </w:r>
            <w:r w:rsidR="0048150C" w:rsidRPr="000478B4">
              <w:rPr>
                <w:rFonts w:eastAsia="Times New Roman"/>
                <w:color w:val="000000"/>
                <w:sz w:val="22"/>
                <w:szCs w:val="22"/>
                <w:lang w:val="en-US" w:eastAsia="uk-UA"/>
              </w:rPr>
              <w:t>.</w:t>
            </w:r>
            <w:r w:rsidRPr="000478B4">
              <w:rPr>
                <w:rFonts w:eastAsia="Times New Roman"/>
                <w:color w:val="000000"/>
                <w:sz w:val="22"/>
                <w:szCs w:val="22"/>
                <w:lang w:val="en-US" w:eastAsia="uk-UA"/>
              </w:rPr>
              <w:t>01</w:t>
            </w:r>
          </w:p>
        </w:tc>
        <w:tc>
          <w:tcPr>
            <w:tcW w:w="1134" w:type="dxa"/>
            <w:tcBorders>
              <w:top w:val="nil"/>
              <w:left w:val="nil"/>
              <w:bottom w:val="single" w:sz="4" w:space="0" w:color="auto"/>
              <w:right w:val="single" w:sz="4" w:space="0" w:color="auto"/>
            </w:tcBorders>
            <w:shd w:val="clear" w:color="auto" w:fill="auto"/>
            <w:noWrap/>
            <w:vAlign w:val="center"/>
            <w:hideMark/>
          </w:tcPr>
          <w:p w:rsidR="00DE0EC8" w:rsidRPr="000478B4" w:rsidRDefault="00DE0EC8" w:rsidP="000478B4">
            <w:pPr>
              <w:ind w:left="-108"/>
              <w:jc w:val="center"/>
              <w:rPr>
                <w:rFonts w:eastAsia="Times New Roman"/>
                <w:color w:val="000000"/>
                <w:sz w:val="22"/>
                <w:szCs w:val="22"/>
                <w:lang w:val="en-US" w:eastAsia="uk-UA"/>
              </w:rPr>
            </w:pPr>
            <w:r w:rsidRPr="000478B4">
              <w:rPr>
                <w:rFonts w:eastAsia="Times New Roman"/>
                <w:color w:val="000000"/>
                <w:sz w:val="22"/>
                <w:szCs w:val="22"/>
                <w:lang w:val="en-US" w:eastAsia="uk-UA"/>
              </w:rPr>
              <w:t>38</w:t>
            </w:r>
            <w:r w:rsidR="0048150C" w:rsidRPr="000478B4">
              <w:rPr>
                <w:rFonts w:eastAsia="Times New Roman"/>
                <w:color w:val="000000"/>
                <w:sz w:val="22"/>
                <w:szCs w:val="22"/>
                <w:lang w:val="en-US" w:eastAsia="uk-UA"/>
              </w:rPr>
              <w:t>.</w:t>
            </w:r>
            <w:r w:rsidRPr="000478B4">
              <w:rPr>
                <w:rFonts w:eastAsia="Times New Roman"/>
                <w:color w:val="000000"/>
                <w:sz w:val="22"/>
                <w:szCs w:val="22"/>
                <w:lang w:val="en-US" w:eastAsia="uk-UA"/>
              </w:rPr>
              <w:t>50</w:t>
            </w:r>
          </w:p>
        </w:tc>
        <w:tc>
          <w:tcPr>
            <w:tcW w:w="1134" w:type="dxa"/>
            <w:tcBorders>
              <w:top w:val="nil"/>
              <w:left w:val="nil"/>
              <w:bottom w:val="single" w:sz="4" w:space="0" w:color="auto"/>
              <w:right w:val="single" w:sz="4" w:space="0" w:color="auto"/>
            </w:tcBorders>
            <w:shd w:val="clear" w:color="auto" w:fill="auto"/>
            <w:noWrap/>
            <w:vAlign w:val="center"/>
            <w:hideMark/>
          </w:tcPr>
          <w:p w:rsidR="00DE0EC8" w:rsidRPr="000478B4" w:rsidRDefault="00DE0EC8" w:rsidP="000478B4">
            <w:pPr>
              <w:ind w:left="-108"/>
              <w:jc w:val="center"/>
              <w:rPr>
                <w:rFonts w:eastAsia="Times New Roman"/>
                <w:color w:val="000000"/>
                <w:sz w:val="22"/>
                <w:szCs w:val="22"/>
                <w:lang w:val="en-US" w:eastAsia="uk-UA"/>
              </w:rPr>
            </w:pPr>
            <w:r w:rsidRPr="000478B4">
              <w:rPr>
                <w:rFonts w:eastAsia="Times New Roman"/>
                <w:color w:val="000000"/>
                <w:sz w:val="22"/>
                <w:szCs w:val="22"/>
                <w:lang w:val="en-US" w:eastAsia="uk-UA"/>
              </w:rPr>
              <w:t>32</w:t>
            </w:r>
            <w:r w:rsidR="0048150C" w:rsidRPr="000478B4">
              <w:rPr>
                <w:rFonts w:eastAsia="Times New Roman"/>
                <w:color w:val="000000"/>
                <w:sz w:val="22"/>
                <w:szCs w:val="22"/>
                <w:lang w:val="en-US" w:eastAsia="uk-UA"/>
              </w:rPr>
              <w:t>.</w:t>
            </w:r>
            <w:r w:rsidRPr="000478B4">
              <w:rPr>
                <w:rFonts w:eastAsia="Times New Roman"/>
                <w:color w:val="000000"/>
                <w:sz w:val="22"/>
                <w:szCs w:val="22"/>
                <w:lang w:val="en-US" w:eastAsia="uk-UA"/>
              </w:rPr>
              <w:t>51</w:t>
            </w:r>
          </w:p>
        </w:tc>
        <w:tc>
          <w:tcPr>
            <w:tcW w:w="1134" w:type="dxa"/>
            <w:tcBorders>
              <w:top w:val="nil"/>
              <w:left w:val="nil"/>
              <w:bottom w:val="single" w:sz="4" w:space="0" w:color="auto"/>
              <w:right w:val="single" w:sz="4" w:space="0" w:color="auto"/>
            </w:tcBorders>
            <w:shd w:val="clear" w:color="auto" w:fill="auto"/>
            <w:noWrap/>
            <w:vAlign w:val="center"/>
            <w:hideMark/>
          </w:tcPr>
          <w:p w:rsidR="00DE0EC8" w:rsidRPr="000478B4" w:rsidRDefault="00DE0EC8" w:rsidP="000478B4">
            <w:pPr>
              <w:ind w:left="-108"/>
              <w:jc w:val="center"/>
              <w:rPr>
                <w:rFonts w:eastAsia="Times New Roman"/>
                <w:color w:val="000000"/>
                <w:sz w:val="22"/>
                <w:szCs w:val="22"/>
                <w:lang w:val="en-US" w:eastAsia="uk-UA"/>
              </w:rPr>
            </w:pPr>
            <w:r w:rsidRPr="000478B4">
              <w:rPr>
                <w:rFonts w:eastAsia="Times New Roman"/>
                <w:color w:val="000000"/>
                <w:sz w:val="22"/>
                <w:szCs w:val="22"/>
                <w:lang w:val="en-US" w:eastAsia="uk-UA"/>
              </w:rPr>
              <w:t>-5</w:t>
            </w:r>
            <w:r w:rsidR="0048150C" w:rsidRPr="000478B4">
              <w:rPr>
                <w:rFonts w:eastAsia="Times New Roman"/>
                <w:color w:val="000000"/>
                <w:sz w:val="22"/>
                <w:szCs w:val="22"/>
                <w:lang w:val="en-US" w:eastAsia="uk-UA"/>
              </w:rPr>
              <w:t>.</w:t>
            </w:r>
            <w:r w:rsidRPr="000478B4">
              <w:rPr>
                <w:rFonts w:eastAsia="Times New Roman"/>
                <w:color w:val="000000"/>
                <w:sz w:val="22"/>
                <w:szCs w:val="22"/>
                <w:lang w:val="en-US" w:eastAsia="uk-UA"/>
              </w:rPr>
              <w:t>99</w:t>
            </w:r>
          </w:p>
        </w:tc>
        <w:tc>
          <w:tcPr>
            <w:tcW w:w="1134" w:type="dxa"/>
            <w:tcBorders>
              <w:top w:val="nil"/>
              <w:left w:val="nil"/>
              <w:bottom w:val="single" w:sz="4" w:space="0" w:color="auto"/>
              <w:right w:val="single" w:sz="4" w:space="0" w:color="auto"/>
            </w:tcBorders>
            <w:shd w:val="clear" w:color="auto" w:fill="auto"/>
            <w:noWrap/>
            <w:vAlign w:val="center"/>
            <w:hideMark/>
          </w:tcPr>
          <w:p w:rsidR="00DE0EC8" w:rsidRPr="000478B4" w:rsidRDefault="00DE0EC8" w:rsidP="000478B4">
            <w:pPr>
              <w:ind w:left="-108"/>
              <w:jc w:val="center"/>
              <w:rPr>
                <w:rFonts w:eastAsia="Times New Roman"/>
                <w:color w:val="000000"/>
                <w:sz w:val="22"/>
                <w:szCs w:val="22"/>
                <w:lang w:val="en-US" w:eastAsia="uk-UA"/>
              </w:rPr>
            </w:pPr>
            <w:r w:rsidRPr="000478B4">
              <w:rPr>
                <w:rFonts w:eastAsia="Times New Roman"/>
                <w:color w:val="000000"/>
                <w:sz w:val="22"/>
                <w:szCs w:val="22"/>
                <w:lang w:val="en-US" w:eastAsia="uk-UA"/>
              </w:rPr>
              <w:t>-17</w:t>
            </w:r>
            <w:r w:rsidR="0048150C" w:rsidRPr="000478B4">
              <w:rPr>
                <w:rFonts w:eastAsia="Times New Roman"/>
                <w:color w:val="000000"/>
                <w:sz w:val="22"/>
                <w:szCs w:val="22"/>
                <w:lang w:val="en-US" w:eastAsia="uk-UA"/>
              </w:rPr>
              <w:t>.</w:t>
            </w:r>
            <w:r w:rsidRPr="000478B4">
              <w:rPr>
                <w:rFonts w:eastAsia="Times New Roman"/>
                <w:color w:val="000000"/>
                <w:sz w:val="22"/>
                <w:szCs w:val="22"/>
                <w:lang w:val="en-US" w:eastAsia="uk-UA"/>
              </w:rPr>
              <w:t>15</w:t>
            </w:r>
          </w:p>
        </w:tc>
      </w:tr>
      <w:tr w:rsidR="00DE0EC8" w:rsidRPr="000478B4" w:rsidTr="006E6CED">
        <w:trPr>
          <w:trHeight w:val="315"/>
          <w:jc w:val="center"/>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DE0EC8" w:rsidRPr="000478B4" w:rsidRDefault="000D6179" w:rsidP="000478B4">
            <w:pPr>
              <w:jc w:val="left"/>
              <w:rPr>
                <w:rFonts w:eastAsia="Times New Roman"/>
                <w:color w:val="000000"/>
                <w:sz w:val="22"/>
                <w:szCs w:val="22"/>
                <w:lang w:val="en-US" w:eastAsia="uk-UA"/>
              </w:rPr>
            </w:pPr>
            <w:r w:rsidRPr="000478B4">
              <w:rPr>
                <w:rFonts w:eastAsia="Times New Roman"/>
                <w:color w:val="000000"/>
                <w:sz w:val="22"/>
                <w:szCs w:val="22"/>
                <w:lang w:val="en-US" w:eastAsia="uk-UA"/>
              </w:rPr>
              <w:t xml:space="preserve">- </w:t>
            </w:r>
            <w:r w:rsidR="00052290" w:rsidRPr="000478B4">
              <w:rPr>
                <w:rFonts w:eastAsia="Times New Roman"/>
                <w:color w:val="000000"/>
                <w:sz w:val="22"/>
                <w:szCs w:val="22"/>
                <w:lang w:val="en-US" w:eastAsia="uk-UA"/>
              </w:rPr>
              <w:t>with private capital</w:t>
            </w:r>
          </w:p>
        </w:tc>
        <w:tc>
          <w:tcPr>
            <w:tcW w:w="1134" w:type="dxa"/>
            <w:tcBorders>
              <w:top w:val="nil"/>
              <w:left w:val="nil"/>
              <w:bottom w:val="single" w:sz="4" w:space="0" w:color="auto"/>
              <w:right w:val="single" w:sz="4" w:space="0" w:color="auto"/>
            </w:tcBorders>
            <w:shd w:val="clear" w:color="auto" w:fill="auto"/>
            <w:noWrap/>
            <w:vAlign w:val="center"/>
            <w:hideMark/>
          </w:tcPr>
          <w:p w:rsidR="00DE0EC8" w:rsidRPr="000478B4" w:rsidRDefault="00DE0EC8" w:rsidP="000478B4">
            <w:pPr>
              <w:ind w:left="-108"/>
              <w:jc w:val="center"/>
              <w:rPr>
                <w:rFonts w:eastAsia="Times New Roman"/>
                <w:color w:val="000000"/>
                <w:sz w:val="22"/>
                <w:szCs w:val="22"/>
                <w:lang w:val="en-US" w:eastAsia="uk-UA"/>
              </w:rPr>
            </w:pPr>
            <w:r w:rsidRPr="000478B4">
              <w:rPr>
                <w:rFonts w:eastAsia="Times New Roman"/>
                <w:color w:val="000000"/>
                <w:sz w:val="22"/>
                <w:szCs w:val="22"/>
                <w:lang w:val="en-US" w:eastAsia="uk-UA"/>
              </w:rPr>
              <w:t>23</w:t>
            </w:r>
            <w:r w:rsidR="0048150C" w:rsidRPr="000478B4">
              <w:rPr>
                <w:rFonts w:eastAsia="Times New Roman"/>
                <w:color w:val="000000"/>
                <w:sz w:val="22"/>
                <w:szCs w:val="22"/>
                <w:lang w:val="en-US" w:eastAsia="uk-UA"/>
              </w:rPr>
              <w:t>.</w:t>
            </w:r>
            <w:r w:rsidRPr="000478B4">
              <w:rPr>
                <w:rFonts w:eastAsia="Times New Roman"/>
                <w:color w:val="000000"/>
                <w:sz w:val="22"/>
                <w:szCs w:val="22"/>
                <w:lang w:val="en-US" w:eastAsia="uk-UA"/>
              </w:rPr>
              <w:t>75</w:t>
            </w:r>
          </w:p>
        </w:tc>
        <w:tc>
          <w:tcPr>
            <w:tcW w:w="1134" w:type="dxa"/>
            <w:tcBorders>
              <w:top w:val="nil"/>
              <w:left w:val="nil"/>
              <w:bottom w:val="single" w:sz="4" w:space="0" w:color="auto"/>
              <w:right w:val="single" w:sz="4" w:space="0" w:color="auto"/>
            </w:tcBorders>
            <w:shd w:val="clear" w:color="auto" w:fill="auto"/>
            <w:noWrap/>
            <w:vAlign w:val="center"/>
            <w:hideMark/>
          </w:tcPr>
          <w:p w:rsidR="00DE0EC8" w:rsidRPr="000478B4" w:rsidRDefault="00DE0EC8" w:rsidP="000478B4">
            <w:pPr>
              <w:ind w:left="-108"/>
              <w:jc w:val="center"/>
              <w:rPr>
                <w:rFonts w:eastAsia="Times New Roman"/>
                <w:color w:val="000000"/>
                <w:sz w:val="22"/>
                <w:szCs w:val="22"/>
                <w:lang w:val="en-US" w:eastAsia="uk-UA"/>
              </w:rPr>
            </w:pPr>
            <w:r w:rsidRPr="000478B4">
              <w:rPr>
                <w:rFonts w:eastAsia="Times New Roman"/>
                <w:color w:val="000000"/>
                <w:sz w:val="22"/>
                <w:szCs w:val="22"/>
                <w:lang w:val="en-US" w:eastAsia="uk-UA"/>
              </w:rPr>
              <w:t>24</w:t>
            </w:r>
            <w:r w:rsidR="0048150C" w:rsidRPr="000478B4">
              <w:rPr>
                <w:rFonts w:eastAsia="Times New Roman"/>
                <w:color w:val="000000"/>
                <w:sz w:val="22"/>
                <w:szCs w:val="22"/>
                <w:lang w:val="en-US" w:eastAsia="uk-UA"/>
              </w:rPr>
              <w:t>.</w:t>
            </w:r>
            <w:r w:rsidRPr="000478B4">
              <w:rPr>
                <w:rFonts w:eastAsia="Times New Roman"/>
                <w:color w:val="000000"/>
                <w:sz w:val="22"/>
                <w:szCs w:val="22"/>
                <w:lang w:val="en-US" w:eastAsia="uk-UA"/>
              </w:rPr>
              <w:t>08</w:t>
            </w:r>
          </w:p>
        </w:tc>
        <w:tc>
          <w:tcPr>
            <w:tcW w:w="1134" w:type="dxa"/>
            <w:tcBorders>
              <w:top w:val="nil"/>
              <w:left w:val="nil"/>
              <w:bottom w:val="single" w:sz="4" w:space="0" w:color="auto"/>
              <w:right w:val="single" w:sz="4" w:space="0" w:color="auto"/>
            </w:tcBorders>
            <w:shd w:val="clear" w:color="auto" w:fill="auto"/>
            <w:noWrap/>
            <w:vAlign w:val="center"/>
            <w:hideMark/>
          </w:tcPr>
          <w:p w:rsidR="00DE0EC8" w:rsidRPr="000478B4" w:rsidRDefault="00DE0EC8" w:rsidP="000478B4">
            <w:pPr>
              <w:ind w:left="-108"/>
              <w:jc w:val="center"/>
              <w:rPr>
                <w:rFonts w:eastAsia="Times New Roman"/>
                <w:color w:val="000000"/>
                <w:sz w:val="22"/>
                <w:szCs w:val="22"/>
                <w:lang w:val="en-US" w:eastAsia="uk-UA"/>
              </w:rPr>
            </w:pPr>
            <w:r w:rsidRPr="000478B4">
              <w:rPr>
                <w:rFonts w:eastAsia="Times New Roman"/>
                <w:color w:val="000000"/>
                <w:sz w:val="22"/>
                <w:szCs w:val="22"/>
                <w:lang w:val="en-US" w:eastAsia="uk-UA"/>
              </w:rPr>
              <w:t>23</w:t>
            </w:r>
            <w:r w:rsidR="0048150C" w:rsidRPr="000478B4">
              <w:rPr>
                <w:rFonts w:eastAsia="Times New Roman"/>
                <w:color w:val="000000"/>
                <w:sz w:val="22"/>
                <w:szCs w:val="22"/>
                <w:lang w:val="en-US" w:eastAsia="uk-UA"/>
              </w:rPr>
              <w:t>.</w:t>
            </w:r>
            <w:r w:rsidRPr="000478B4">
              <w:rPr>
                <w:rFonts w:eastAsia="Times New Roman"/>
                <w:color w:val="000000"/>
                <w:sz w:val="22"/>
                <w:szCs w:val="22"/>
                <w:lang w:val="en-US" w:eastAsia="uk-UA"/>
              </w:rPr>
              <w:t>01</w:t>
            </w:r>
          </w:p>
        </w:tc>
        <w:tc>
          <w:tcPr>
            <w:tcW w:w="1134" w:type="dxa"/>
            <w:tcBorders>
              <w:top w:val="nil"/>
              <w:left w:val="nil"/>
              <w:bottom w:val="single" w:sz="4" w:space="0" w:color="auto"/>
              <w:right w:val="single" w:sz="4" w:space="0" w:color="auto"/>
            </w:tcBorders>
            <w:shd w:val="clear" w:color="auto" w:fill="auto"/>
            <w:noWrap/>
            <w:vAlign w:val="center"/>
            <w:hideMark/>
          </w:tcPr>
          <w:p w:rsidR="00DE0EC8" w:rsidRPr="000478B4" w:rsidRDefault="00DE0EC8" w:rsidP="000478B4">
            <w:pPr>
              <w:ind w:left="-108"/>
              <w:jc w:val="center"/>
              <w:rPr>
                <w:rFonts w:eastAsia="Times New Roman"/>
                <w:color w:val="000000"/>
                <w:sz w:val="22"/>
                <w:szCs w:val="22"/>
                <w:lang w:val="en-US" w:eastAsia="uk-UA"/>
              </w:rPr>
            </w:pPr>
            <w:r w:rsidRPr="000478B4">
              <w:rPr>
                <w:rFonts w:eastAsia="Times New Roman"/>
                <w:color w:val="000000"/>
                <w:sz w:val="22"/>
                <w:szCs w:val="22"/>
                <w:lang w:val="en-US" w:eastAsia="uk-UA"/>
              </w:rPr>
              <w:t>18</w:t>
            </w:r>
            <w:r w:rsidR="0048150C" w:rsidRPr="000478B4">
              <w:rPr>
                <w:rFonts w:eastAsia="Times New Roman"/>
                <w:color w:val="000000"/>
                <w:sz w:val="22"/>
                <w:szCs w:val="22"/>
                <w:lang w:val="en-US" w:eastAsia="uk-UA"/>
              </w:rPr>
              <w:t>.</w:t>
            </w:r>
            <w:r w:rsidRPr="000478B4">
              <w:rPr>
                <w:rFonts w:eastAsia="Times New Roman"/>
                <w:color w:val="000000"/>
                <w:sz w:val="22"/>
                <w:szCs w:val="22"/>
                <w:lang w:val="en-US" w:eastAsia="uk-UA"/>
              </w:rPr>
              <w:t>57</w:t>
            </w:r>
          </w:p>
        </w:tc>
        <w:tc>
          <w:tcPr>
            <w:tcW w:w="1134" w:type="dxa"/>
            <w:tcBorders>
              <w:top w:val="nil"/>
              <w:left w:val="nil"/>
              <w:bottom w:val="single" w:sz="4" w:space="0" w:color="auto"/>
              <w:right w:val="single" w:sz="4" w:space="0" w:color="auto"/>
            </w:tcBorders>
            <w:shd w:val="clear" w:color="auto" w:fill="auto"/>
            <w:noWrap/>
            <w:vAlign w:val="center"/>
            <w:hideMark/>
          </w:tcPr>
          <w:p w:rsidR="00DE0EC8" w:rsidRPr="000478B4" w:rsidRDefault="00DE0EC8" w:rsidP="000478B4">
            <w:pPr>
              <w:ind w:left="-108"/>
              <w:jc w:val="center"/>
              <w:rPr>
                <w:rFonts w:eastAsia="Times New Roman"/>
                <w:color w:val="000000"/>
                <w:sz w:val="22"/>
                <w:szCs w:val="22"/>
                <w:lang w:val="en-US" w:eastAsia="uk-UA"/>
              </w:rPr>
            </w:pPr>
            <w:r w:rsidRPr="000478B4">
              <w:rPr>
                <w:rFonts w:eastAsia="Times New Roman"/>
                <w:color w:val="000000"/>
                <w:sz w:val="22"/>
                <w:szCs w:val="22"/>
                <w:lang w:val="en-US" w:eastAsia="uk-UA"/>
              </w:rPr>
              <w:t>-4</w:t>
            </w:r>
            <w:r w:rsidR="0048150C" w:rsidRPr="000478B4">
              <w:rPr>
                <w:rFonts w:eastAsia="Times New Roman"/>
                <w:color w:val="000000"/>
                <w:sz w:val="22"/>
                <w:szCs w:val="22"/>
                <w:lang w:val="en-US" w:eastAsia="uk-UA"/>
              </w:rPr>
              <w:t>.</w:t>
            </w:r>
            <w:r w:rsidRPr="000478B4">
              <w:rPr>
                <w:rFonts w:eastAsia="Times New Roman"/>
                <w:color w:val="000000"/>
                <w:sz w:val="22"/>
                <w:szCs w:val="22"/>
                <w:lang w:val="en-US" w:eastAsia="uk-UA"/>
              </w:rPr>
              <w:t>44</w:t>
            </w:r>
          </w:p>
        </w:tc>
        <w:tc>
          <w:tcPr>
            <w:tcW w:w="1134" w:type="dxa"/>
            <w:tcBorders>
              <w:top w:val="nil"/>
              <w:left w:val="nil"/>
              <w:bottom w:val="single" w:sz="4" w:space="0" w:color="auto"/>
              <w:right w:val="single" w:sz="4" w:space="0" w:color="auto"/>
            </w:tcBorders>
            <w:shd w:val="clear" w:color="auto" w:fill="auto"/>
            <w:noWrap/>
            <w:vAlign w:val="center"/>
            <w:hideMark/>
          </w:tcPr>
          <w:p w:rsidR="00DE0EC8" w:rsidRPr="000478B4" w:rsidRDefault="00DE0EC8" w:rsidP="000478B4">
            <w:pPr>
              <w:ind w:left="-108"/>
              <w:jc w:val="center"/>
              <w:rPr>
                <w:rFonts w:eastAsia="Times New Roman"/>
                <w:color w:val="000000"/>
                <w:sz w:val="22"/>
                <w:szCs w:val="22"/>
                <w:lang w:val="en-US" w:eastAsia="uk-UA"/>
              </w:rPr>
            </w:pPr>
            <w:r w:rsidRPr="000478B4">
              <w:rPr>
                <w:rFonts w:eastAsia="Times New Roman"/>
                <w:color w:val="000000"/>
                <w:sz w:val="22"/>
                <w:szCs w:val="22"/>
                <w:lang w:val="en-US" w:eastAsia="uk-UA"/>
              </w:rPr>
              <w:t>-5</w:t>
            </w:r>
            <w:r w:rsidR="0048150C" w:rsidRPr="000478B4">
              <w:rPr>
                <w:rFonts w:eastAsia="Times New Roman"/>
                <w:color w:val="000000"/>
                <w:sz w:val="22"/>
                <w:szCs w:val="22"/>
                <w:lang w:val="en-US" w:eastAsia="uk-UA"/>
              </w:rPr>
              <w:t>.</w:t>
            </w:r>
            <w:r w:rsidRPr="000478B4">
              <w:rPr>
                <w:rFonts w:eastAsia="Times New Roman"/>
                <w:color w:val="000000"/>
                <w:sz w:val="22"/>
                <w:szCs w:val="22"/>
                <w:lang w:val="en-US" w:eastAsia="uk-UA"/>
              </w:rPr>
              <w:t>17</w:t>
            </w:r>
          </w:p>
        </w:tc>
      </w:tr>
      <w:tr w:rsidR="00DE0EC8" w:rsidRPr="000478B4" w:rsidTr="006E6CED">
        <w:trPr>
          <w:trHeight w:val="315"/>
          <w:jc w:val="center"/>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DE0EC8" w:rsidRPr="000478B4" w:rsidRDefault="000D6179" w:rsidP="000478B4">
            <w:pPr>
              <w:ind w:left="-108" w:firstLine="108"/>
              <w:jc w:val="left"/>
              <w:rPr>
                <w:rFonts w:eastAsia="Times New Roman"/>
                <w:color w:val="000000"/>
                <w:sz w:val="22"/>
                <w:szCs w:val="22"/>
                <w:lang w:val="en-US" w:eastAsia="uk-UA"/>
              </w:rPr>
            </w:pPr>
            <w:r w:rsidRPr="000478B4">
              <w:rPr>
                <w:rFonts w:eastAsia="Times New Roman"/>
                <w:color w:val="000000"/>
                <w:sz w:val="22"/>
                <w:szCs w:val="22"/>
                <w:lang w:val="en-US" w:eastAsia="uk-UA"/>
              </w:rPr>
              <w:t xml:space="preserve">- </w:t>
            </w:r>
            <w:r w:rsidR="00052290" w:rsidRPr="000478B4">
              <w:rPr>
                <w:rFonts w:eastAsia="Times New Roman"/>
                <w:color w:val="000000"/>
                <w:sz w:val="22"/>
                <w:szCs w:val="22"/>
                <w:lang w:val="en-US" w:eastAsia="uk-UA"/>
              </w:rPr>
              <w:t>insolvent banks</w:t>
            </w:r>
          </w:p>
        </w:tc>
        <w:tc>
          <w:tcPr>
            <w:tcW w:w="1134" w:type="dxa"/>
            <w:tcBorders>
              <w:top w:val="nil"/>
              <w:left w:val="nil"/>
              <w:bottom w:val="single" w:sz="4" w:space="0" w:color="auto"/>
              <w:right w:val="single" w:sz="4" w:space="0" w:color="auto"/>
            </w:tcBorders>
            <w:shd w:val="clear" w:color="auto" w:fill="auto"/>
            <w:noWrap/>
            <w:vAlign w:val="center"/>
            <w:hideMark/>
          </w:tcPr>
          <w:p w:rsidR="00DE0EC8" w:rsidRPr="000478B4" w:rsidRDefault="00DE0EC8" w:rsidP="000478B4">
            <w:pPr>
              <w:ind w:left="-108"/>
              <w:jc w:val="center"/>
              <w:rPr>
                <w:rFonts w:eastAsia="Times New Roman"/>
                <w:color w:val="000000"/>
                <w:sz w:val="22"/>
                <w:szCs w:val="22"/>
                <w:lang w:val="en-US" w:eastAsia="uk-UA"/>
              </w:rPr>
            </w:pPr>
            <w:r w:rsidRPr="000478B4">
              <w:rPr>
                <w:rFonts w:eastAsia="Times New Roman"/>
                <w:color w:val="000000"/>
                <w:sz w:val="22"/>
                <w:szCs w:val="22"/>
                <w:lang w:val="en-US" w:eastAsia="uk-UA"/>
              </w:rPr>
              <w:t>36</w:t>
            </w:r>
            <w:r w:rsidR="0048150C" w:rsidRPr="000478B4">
              <w:rPr>
                <w:rFonts w:eastAsia="Times New Roman"/>
                <w:color w:val="000000"/>
                <w:sz w:val="22"/>
                <w:szCs w:val="22"/>
                <w:lang w:val="en-US" w:eastAsia="uk-UA"/>
              </w:rPr>
              <w:t>.</w:t>
            </w:r>
            <w:r w:rsidRPr="000478B4">
              <w:rPr>
                <w:rFonts w:eastAsia="Times New Roman"/>
                <w:color w:val="000000"/>
                <w:sz w:val="22"/>
                <w:szCs w:val="22"/>
                <w:lang w:val="en-US" w:eastAsia="uk-UA"/>
              </w:rPr>
              <w:t>82</w:t>
            </w:r>
          </w:p>
        </w:tc>
        <w:tc>
          <w:tcPr>
            <w:tcW w:w="1134" w:type="dxa"/>
            <w:tcBorders>
              <w:top w:val="nil"/>
              <w:left w:val="nil"/>
              <w:bottom w:val="single" w:sz="4" w:space="0" w:color="auto"/>
              <w:right w:val="single" w:sz="4" w:space="0" w:color="auto"/>
            </w:tcBorders>
            <w:shd w:val="clear" w:color="auto" w:fill="auto"/>
            <w:noWrap/>
            <w:vAlign w:val="center"/>
            <w:hideMark/>
          </w:tcPr>
          <w:p w:rsidR="00DE0EC8" w:rsidRPr="000478B4" w:rsidRDefault="00DE0EC8" w:rsidP="000478B4">
            <w:pPr>
              <w:ind w:left="-108"/>
              <w:jc w:val="center"/>
              <w:rPr>
                <w:rFonts w:eastAsia="Times New Roman"/>
                <w:color w:val="000000"/>
                <w:sz w:val="22"/>
                <w:szCs w:val="22"/>
                <w:lang w:val="en-US" w:eastAsia="uk-UA"/>
              </w:rPr>
            </w:pPr>
            <w:r w:rsidRPr="000478B4">
              <w:rPr>
                <w:rFonts w:eastAsia="Times New Roman"/>
                <w:color w:val="000000"/>
                <w:sz w:val="22"/>
                <w:szCs w:val="22"/>
                <w:lang w:val="en-US" w:eastAsia="uk-UA"/>
              </w:rPr>
              <w:t>43</w:t>
            </w:r>
            <w:r w:rsidR="0048150C" w:rsidRPr="000478B4">
              <w:rPr>
                <w:rFonts w:eastAsia="Times New Roman"/>
                <w:color w:val="000000"/>
                <w:sz w:val="22"/>
                <w:szCs w:val="22"/>
                <w:lang w:val="en-US" w:eastAsia="uk-UA"/>
              </w:rPr>
              <w:t>.</w:t>
            </w:r>
            <w:r w:rsidRPr="000478B4">
              <w:rPr>
                <w:rFonts w:eastAsia="Times New Roman"/>
                <w:color w:val="000000"/>
                <w:sz w:val="22"/>
                <w:szCs w:val="22"/>
                <w:lang w:val="en-US" w:eastAsia="uk-UA"/>
              </w:rPr>
              <w:t>02</w:t>
            </w:r>
          </w:p>
        </w:tc>
        <w:tc>
          <w:tcPr>
            <w:tcW w:w="1134" w:type="dxa"/>
            <w:tcBorders>
              <w:top w:val="nil"/>
              <w:left w:val="nil"/>
              <w:bottom w:val="single" w:sz="4" w:space="0" w:color="auto"/>
              <w:right w:val="single" w:sz="4" w:space="0" w:color="auto"/>
            </w:tcBorders>
            <w:shd w:val="clear" w:color="auto" w:fill="auto"/>
            <w:noWrap/>
            <w:vAlign w:val="center"/>
            <w:hideMark/>
          </w:tcPr>
          <w:p w:rsidR="00DE0EC8" w:rsidRPr="000478B4" w:rsidRDefault="00DE0EC8" w:rsidP="000478B4">
            <w:pPr>
              <w:ind w:left="-108"/>
              <w:jc w:val="center"/>
              <w:rPr>
                <w:rFonts w:eastAsia="Times New Roman"/>
                <w:color w:val="000000"/>
                <w:sz w:val="22"/>
                <w:szCs w:val="22"/>
                <w:lang w:val="en-US" w:eastAsia="uk-UA"/>
              </w:rPr>
            </w:pPr>
            <w:r w:rsidRPr="000478B4">
              <w:rPr>
                <w:rFonts w:eastAsia="Times New Roman"/>
                <w:color w:val="000000"/>
                <w:sz w:val="22"/>
                <w:szCs w:val="22"/>
                <w:lang w:val="en-US" w:eastAsia="uk-UA"/>
              </w:rPr>
              <w:t>52</w:t>
            </w:r>
            <w:r w:rsidR="0048150C" w:rsidRPr="000478B4">
              <w:rPr>
                <w:rFonts w:eastAsia="Times New Roman"/>
                <w:color w:val="000000"/>
                <w:sz w:val="22"/>
                <w:szCs w:val="22"/>
                <w:lang w:val="en-US" w:eastAsia="uk-UA"/>
              </w:rPr>
              <w:t>.</w:t>
            </w:r>
            <w:r w:rsidRPr="000478B4">
              <w:rPr>
                <w:rFonts w:eastAsia="Times New Roman"/>
                <w:color w:val="000000"/>
                <w:sz w:val="22"/>
                <w:szCs w:val="22"/>
                <w:lang w:val="en-US" w:eastAsia="uk-UA"/>
              </w:rPr>
              <w:t>04</w:t>
            </w:r>
          </w:p>
        </w:tc>
        <w:tc>
          <w:tcPr>
            <w:tcW w:w="1134" w:type="dxa"/>
            <w:tcBorders>
              <w:top w:val="nil"/>
              <w:left w:val="nil"/>
              <w:bottom w:val="single" w:sz="4" w:space="0" w:color="auto"/>
              <w:right w:val="single" w:sz="4" w:space="0" w:color="auto"/>
            </w:tcBorders>
            <w:shd w:val="clear" w:color="auto" w:fill="auto"/>
            <w:noWrap/>
            <w:vAlign w:val="center"/>
            <w:hideMark/>
          </w:tcPr>
          <w:p w:rsidR="00DE0EC8" w:rsidRPr="000478B4" w:rsidRDefault="00DE0EC8" w:rsidP="000478B4">
            <w:pPr>
              <w:ind w:left="-108"/>
              <w:jc w:val="center"/>
              <w:rPr>
                <w:rFonts w:eastAsia="Times New Roman"/>
                <w:color w:val="000000"/>
                <w:sz w:val="22"/>
                <w:szCs w:val="22"/>
                <w:lang w:val="en-US" w:eastAsia="uk-UA"/>
              </w:rPr>
            </w:pPr>
            <w:r w:rsidRPr="000478B4">
              <w:rPr>
                <w:rFonts w:eastAsia="Times New Roman"/>
                <w:color w:val="000000"/>
                <w:sz w:val="22"/>
                <w:szCs w:val="22"/>
                <w:lang w:val="en-US" w:eastAsia="uk-UA"/>
              </w:rPr>
              <w:t>0</w:t>
            </w:r>
            <w:r w:rsidR="0048150C" w:rsidRPr="000478B4">
              <w:rPr>
                <w:rFonts w:eastAsia="Times New Roman"/>
                <w:color w:val="000000"/>
                <w:sz w:val="22"/>
                <w:szCs w:val="22"/>
                <w:lang w:val="en-US" w:eastAsia="uk-UA"/>
              </w:rPr>
              <w:t>.</w:t>
            </w:r>
            <w:r w:rsidRPr="000478B4">
              <w:rPr>
                <w:rFonts w:eastAsia="Times New Roman"/>
                <w:color w:val="000000"/>
                <w:sz w:val="22"/>
                <w:szCs w:val="22"/>
                <w:lang w:val="en-US" w:eastAsia="uk-UA"/>
              </w:rPr>
              <w:t>00</w:t>
            </w:r>
          </w:p>
        </w:tc>
        <w:tc>
          <w:tcPr>
            <w:tcW w:w="1134" w:type="dxa"/>
            <w:tcBorders>
              <w:top w:val="nil"/>
              <w:left w:val="nil"/>
              <w:bottom w:val="single" w:sz="4" w:space="0" w:color="auto"/>
              <w:right w:val="single" w:sz="4" w:space="0" w:color="auto"/>
            </w:tcBorders>
            <w:shd w:val="clear" w:color="auto" w:fill="auto"/>
            <w:noWrap/>
            <w:vAlign w:val="center"/>
            <w:hideMark/>
          </w:tcPr>
          <w:p w:rsidR="00DE0EC8" w:rsidRPr="000478B4" w:rsidRDefault="00DE0EC8" w:rsidP="000478B4">
            <w:pPr>
              <w:ind w:left="-108"/>
              <w:jc w:val="center"/>
              <w:rPr>
                <w:rFonts w:eastAsia="Times New Roman"/>
                <w:color w:val="000000"/>
                <w:sz w:val="22"/>
                <w:szCs w:val="22"/>
                <w:lang w:val="en-US" w:eastAsia="uk-UA"/>
              </w:rPr>
            </w:pPr>
            <w:r w:rsidRPr="000478B4">
              <w:rPr>
                <w:rFonts w:eastAsia="Times New Roman"/>
                <w:color w:val="000000"/>
                <w:sz w:val="22"/>
                <w:szCs w:val="22"/>
                <w:lang w:val="en-US" w:eastAsia="uk-UA"/>
              </w:rPr>
              <w:t>-52</w:t>
            </w:r>
            <w:r w:rsidR="0048150C" w:rsidRPr="000478B4">
              <w:rPr>
                <w:rFonts w:eastAsia="Times New Roman"/>
                <w:color w:val="000000"/>
                <w:sz w:val="22"/>
                <w:szCs w:val="22"/>
                <w:lang w:val="en-US" w:eastAsia="uk-UA"/>
              </w:rPr>
              <w:t>.</w:t>
            </w:r>
            <w:r w:rsidRPr="000478B4">
              <w:rPr>
                <w:rFonts w:eastAsia="Times New Roman"/>
                <w:color w:val="000000"/>
                <w:sz w:val="22"/>
                <w:szCs w:val="22"/>
                <w:lang w:val="en-US" w:eastAsia="uk-UA"/>
              </w:rPr>
              <w:t>04</w:t>
            </w:r>
          </w:p>
        </w:tc>
        <w:tc>
          <w:tcPr>
            <w:tcW w:w="1134" w:type="dxa"/>
            <w:tcBorders>
              <w:top w:val="nil"/>
              <w:left w:val="nil"/>
              <w:bottom w:val="single" w:sz="4" w:space="0" w:color="auto"/>
              <w:right w:val="single" w:sz="4" w:space="0" w:color="auto"/>
            </w:tcBorders>
            <w:shd w:val="clear" w:color="auto" w:fill="auto"/>
            <w:noWrap/>
            <w:vAlign w:val="center"/>
            <w:hideMark/>
          </w:tcPr>
          <w:p w:rsidR="00DE0EC8" w:rsidRPr="000478B4" w:rsidRDefault="00DE0EC8" w:rsidP="000478B4">
            <w:pPr>
              <w:ind w:left="-108"/>
              <w:jc w:val="center"/>
              <w:rPr>
                <w:rFonts w:eastAsia="Times New Roman"/>
                <w:color w:val="000000"/>
                <w:sz w:val="22"/>
                <w:szCs w:val="22"/>
                <w:lang w:val="en-US" w:eastAsia="uk-UA"/>
              </w:rPr>
            </w:pPr>
            <w:r w:rsidRPr="000478B4">
              <w:rPr>
                <w:rFonts w:eastAsia="Times New Roman"/>
                <w:color w:val="000000"/>
                <w:sz w:val="22"/>
                <w:szCs w:val="22"/>
                <w:lang w:val="en-US" w:eastAsia="uk-UA"/>
              </w:rPr>
              <w:t>-36</w:t>
            </w:r>
            <w:r w:rsidR="0048150C" w:rsidRPr="000478B4">
              <w:rPr>
                <w:rFonts w:eastAsia="Times New Roman"/>
                <w:color w:val="000000"/>
                <w:sz w:val="22"/>
                <w:szCs w:val="22"/>
                <w:lang w:val="en-US" w:eastAsia="uk-UA"/>
              </w:rPr>
              <w:t>.</w:t>
            </w:r>
            <w:r w:rsidRPr="000478B4">
              <w:rPr>
                <w:rFonts w:eastAsia="Times New Roman"/>
                <w:color w:val="000000"/>
                <w:sz w:val="22"/>
                <w:szCs w:val="22"/>
                <w:lang w:val="en-US" w:eastAsia="uk-UA"/>
              </w:rPr>
              <w:t>82</w:t>
            </w:r>
          </w:p>
        </w:tc>
      </w:tr>
    </w:tbl>
    <w:p w:rsidR="00DE0EC8" w:rsidRPr="000478B4" w:rsidRDefault="00652FC8" w:rsidP="000478B4">
      <w:pPr>
        <w:ind w:firstLine="709"/>
        <w:contextualSpacing/>
        <w:rPr>
          <w:rFonts w:eastAsia="Calibri"/>
          <w:i/>
          <w:sz w:val="20"/>
          <w:szCs w:val="20"/>
          <w:lang w:val="en-US"/>
        </w:rPr>
      </w:pPr>
      <w:r w:rsidRPr="000478B4">
        <w:rPr>
          <w:rFonts w:eastAsia="Calibri"/>
          <w:i/>
          <w:sz w:val="20"/>
          <w:szCs w:val="20"/>
          <w:lang w:val="en-US"/>
        </w:rPr>
        <w:t xml:space="preserve">*Calculated according to the National Bank of Ukraine </w:t>
      </w:r>
      <w:r w:rsidR="00DE0EC8" w:rsidRPr="000478B4">
        <w:rPr>
          <w:rFonts w:eastAsia="Calibri"/>
          <w:i/>
          <w:sz w:val="20"/>
          <w:szCs w:val="20"/>
          <w:lang w:val="en-US"/>
        </w:rPr>
        <w:t>[</w:t>
      </w:r>
      <w:r w:rsidR="006B09E0" w:rsidRPr="000478B4">
        <w:rPr>
          <w:rFonts w:eastAsia="Calibri"/>
          <w:i/>
          <w:sz w:val="20"/>
          <w:szCs w:val="20"/>
        </w:rPr>
        <w:t>1</w:t>
      </w:r>
      <w:r w:rsidR="00163AE9" w:rsidRPr="000478B4">
        <w:rPr>
          <w:rFonts w:eastAsia="Calibri"/>
          <w:i/>
          <w:sz w:val="20"/>
          <w:szCs w:val="20"/>
        </w:rPr>
        <w:t>7</w:t>
      </w:r>
      <w:r w:rsidR="00DE0EC8" w:rsidRPr="000478B4">
        <w:rPr>
          <w:rFonts w:eastAsia="Calibri"/>
          <w:i/>
          <w:sz w:val="20"/>
          <w:szCs w:val="20"/>
          <w:lang w:val="en-US"/>
        </w:rPr>
        <w:t>].</w:t>
      </w:r>
    </w:p>
    <w:p w:rsidR="00652FC8" w:rsidRPr="000478B4" w:rsidRDefault="00652FC8" w:rsidP="000478B4">
      <w:pPr>
        <w:ind w:firstLine="567"/>
        <w:contextualSpacing/>
        <w:rPr>
          <w:rFonts w:eastAsia="Calibri"/>
          <w:sz w:val="24"/>
          <w:szCs w:val="24"/>
          <w:lang w:val="en-US"/>
        </w:rPr>
      </w:pPr>
    </w:p>
    <w:p w:rsidR="002D0B37" w:rsidRPr="000478B4" w:rsidRDefault="002D0B37" w:rsidP="000478B4">
      <w:pPr>
        <w:ind w:firstLine="709"/>
        <w:contextualSpacing/>
        <w:rPr>
          <w:rFonts w:eastAsia="Calibri"/>
          <w:sz w:val="24"/>
          <w:szCs w:val="24"/>
          <w:lang w:val="en-US"/>
        </w:rPr>
      </w:pPr>
      <w:r w:rsidRPr="000478B4">
        <w:rPr>
          <w:rFonts w:eastAsia="Calibri"/>
          <w:sz w:val="24"/>
          <w:szCs w:val="24"/>
          <w:lang w:val="en-US"/>
        </w:rPr>
        <w:t xml:space="preserve">The indicators in Table 2 show that the quality of assets of the Ukrainian banks is extremely unsatisfactory. In 2016-2017, a </w:t>
      </w:r>
      <w:r w:rsidR="00EC7706" w:rsidRPr="000478B4">
        <w:rPr>
          <w:rFonts w:eastAsia="Calibri"/>
          <w:sz w:val="24"/>
          <w:szCs w:val="24"/>
          <w:lang w:val="en-US"/>
        </w:rPr>
        <w:t>considerable</w:t>
      </w:r>
      <w:r w:rsidRPr="000478B4">
        <w:rPr>
          <w:rFonts w:eastAsia="Calibri"/>
          <w:sz w:val="24"/>
          <w:szCs w:val="24"/>
          <w:lang w:val="en-US"/>
        </w:rPr>
        <w:t xml:space="preserve"> increase in NPL was caused by: the new methodology for recognizing problem assets, taking into account international experience; recognizing a </w:t>
      </w:r>
      <w:r w:rsidR="00EC7706" w:rsidRPr="000478B4">
        <w:rPr>
          <w:rFonts w:eastAsia="Calibri"/>
          <w:sz w:val="24"/>
          <w:szCs w:val="24"/>
          <w:lang w:val="en-US"/>
        </w:rPr>
        <w:t>sizeable</w:t>
      </w:r>
      <w:r w:rsidRPr="000478B4">
        <w:rPr>
          <w:rFonts w:eastAsia="Calibri"/>
          <w:sz w:val="24"/>
          <w:szCs w:val="24"/>
          <w:lang w:val="en-US"/>
        </w:rPr>
        <w:t xml:space="preserve"> share of problem loans of CB "</w:t>
      </w:r>
      <w:proofErr w:type="spellStart"/>
      <w:r w:rsidRPr="000478B4">
        <w:rPr>
          <w:rFonts w:eastAsia="Calibri"/>
          <w:sz w:val="24"/>
          <w:szCs w:val="24"/>
          <w:lang w:val="en-US"/>
        </w:rPr>
        <w:t>PrivatBank</w:t>
      </w:r>
      <w:proofErr w:type="spellEnd"/>
      <w:r w:rsidRPr="000478B4">
        <w:rPr>
          <w:rFonts w:eastAsia="Calibri"/>
          <w:sz w:val="24"/>
          <w:szCs w:val="24"/>
          <w:lang w:val="en-US"/>
        </w:rPr>
        <w:t xml:space="preserve">" after nationalization; objective deterioration of borrowers’ creditworthiness due to declining real incomes; </w:t>
      </w:r>
      <w:r w:rsidR="00EC7706" w:rsidRPr="000478B4">
        <w:rPr>
          <w:rFonts w:eastAsia="Calibri"/>
          <w:sz w:val="24"/>
          <w:szCs w:val="24"/>
          <w:lang w:val="en-US"/>
        </w:rPr>
        <w:t>large</w:t>
      </w:r>
      <w:r w:rsidRPr="000478B4">
        <w:rPr>
          <w:rFonts w:eastAsia="Calibri"/>
          <w:sz w:val="24"/>
          <w:szCs w:val="24"/>
          <w:lang w:val="en-US"/>
        </w:rPr>
        <w:t xml:space="preserve"> amounts of insider lending. To </w:t>
      </w:r>
      <w:r w:rsidR="00EC7706" w:rsidRPr="000478B4">
        <w:rPr>
          <w:rFonts w:eastAsia="Calibri"/>
          <w:sz w:val="24"/>
          <w:szCs w:val="24"/>
          <w:lang w:val="en-US"/>
        </w:rPr>
        <w:t>strengthen</w:t>
      </w:r>
      <w:r w:rsidRPr="000478B4">
        <w:rPr>
          <w:rFonts w:eastAsia="Calibri"/>
          <w:sz w:val="24"/>
          <w:szCs w:val="24"/>
          <w:lang w:val="en-US"/>
        </w:rPr>
        <w:t xml:space="preserve"> the stability of banks, the National Bank insists on improving asset quality management by restructuring, selling or writing off non-performing loans [</w:t>
      </w:r>
      <w:r w:rsidR="006B09E0" w:rsidRPr="000478B4">
        <w:rPr>
          <w:rFonts w:eastAsia="Calibri"/>
          <w:sz w:val="24"/>
          <w:szCs w:val="24"/>
        </w:rPr>
        <w:t>1</w:t>
      </w:r>
      <w:r w:rsidR="007A420B" w:rsidRPr="000478B4">
        <w:rPr>
          <w:rFonts w:eastAsia="Calibri"/>
          <w:sz w:val="24"/>
          <w:szCs w:val="24"/>
        </w:rPr>
        <w:t>8</w:t>
      </w:r>
      <w:r w:rsidRPr="000478B4">
        <w:rPr>
          <w:rFonts w:eastAsia="Calibri"/>
          <w:sz w:val="24"/>
          <w:szCs w:val="24"/>
          <w:lang w:val="en-US"/>
        </w:rPr>
        <w:t>]. As of January 1, 2020, the share of such loans decreased to less than 50% of assets for the first time since the beginning of the calculation and amounted to 48.36%, which is certainly a positive trend.</w:t>
      </w:r>
    </w:p>
    <w:p w:rsidR="001E41C7" w:rsidRPr="000478B4" w:rsidRDefault="001E41C7" w:rsidP="000478B4">
      <w:pPr>
        <w:ind w:firstLine="709"/>
        <w:contextualSpacing/>
        <w:rPr>
          <w:rFonts w:eastAsia="Calibri"/>
          <w:sz w:val="24"/>
          <w:szCs w:val="24"/>
        </w:rPr>
      </w:pPr>
      <w:r w:rsidRPr="000478B4">
        <w:rPr>
          <w:rFonts w:eastAsia="Calibri"/>
          <w:sz w:val="24"/>
          <w:szCs w:val="24"/>
          <w:lang w:val="en-US"/>
        </w:rPr>
        <w:t xml:space="preserve">It should be noted that it is important for banks to form a sufficient reserves in case of non-repayment of credit debt to be able to “absorb” risks generated by active operations. In our opinion, the security of loans (the ratio of </w:t>
      </w:r>
      <w:r w:rsidR="00EC7706" w:rsidRPr="000478B4">
        <w:rPr>
          <w:rFonts w:eastAsia="Calibri"/>
          <w:sz w:val="24"/>
          <w:szCs w:val="24"/>
          <w:lang w:val="en-US"/>
        </w:rPr>
        <w:t>provisions</w:t>
      </w:r>
      <w:r w:rsidRPr="000478B4">
        <w:rPr>
          <w:rFonts w:eastAsia="Calibri"/>
          <w:sz w:val="24"/>
          <w:szCs w:val="24"/>
          <w:lang w:val="en-US"/>
        </w:rPr>
        <w:t xml:space="preserve"> to total loans) is no less important than the level of their problem-causing (Figure 3).</w:t>
      </w:r>
    </w:p>
    <w:p w:rsidR="006B09E0" w:rsidRPr="000478B4" w:rsidRDefault="006B09E0" w:rsidP="000478B4">
      <w:pPr>
        <w:contextualSpacing/>
        <w:jc w:val="center"/>
        <w:rPr>
          <w:rFonts w:eastAsia="Calibri"/>
          <w:sz w:val="24"/>
          <w:szCs w:val="24"/>
        </w:rPr>
      </w:pPr>
      <w:r w:rsidRPr="000478B4">
        <w:rPr>
          <w:noProof/>
          <w:sz w:val="24"/>
          <w:szCs w:val="24"/>
          <w:lang w:val="ru-RU" w:eastAsia="ru-RU"/>
        </w:rPr>
        <w:drawing>
          <wp:inline distT="0" distB="0" distL="0" distR="0" wp14:anchorId="30910D6E" wp14:editId="47BCF241">
            <wp:extent cx="5267325" cy="2876550"/>
            <wp:effectExtent l="0" t="0" r="0" b="0"/>
            <wp:docPr id="6" name="Диаграмма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DF39FD1-786B-4295-A4C1-EF4C8746F4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B09E0" w:rsidRPr="000478B4" w:rsidRDefault="001E41C7" w:rsidP="000478B4">
      <w:pPr>
        <w:ind w:firstLine="567"/>
        <w:contextualSpacing/>
        <w:jc w:val="center"/>
        <w:rPr>
          <w:rFonts w:eastAsia="Calibri"/>
          <w:b/>
          <w:sz w:val="24"/>
          <w:szCs w:val="24"/>
        </w:rPr>
      </w:pPr>
      <w:proofErr w:type="gramStart"/>
      <w:r w:rsidRPr="000478B4">
        <w:rPr>
          <w:rFonts w:eastAsia="Calibri"/>
          <w:b/>
          <w:sz w:val="24"/>
          <w:szCs w:val="24"/>
          <w:lang w:val="en-US"/>
        </w:rPr>
        <w:t>Fig</w:t>
      </w:r>
      <w:r w:rsidR="000478B4">
        <w:rPr>
          <w:rFonts w:eastAsia="Calibri"/>
          <w:b/>
          <w:sz w:val="24"/>
          <w:szCs w:val="24"/>
          <w:lang w:val="en-US"/>
        </w:rPr>
        <w:t>. 4</w:t>
      </w:r>
      <w:r w:rsidR="00DE0EC8" w:rsidRPr="000478B4">
        <w:rPr>
          <w:rFonts w:eastAsia="Calibri"/>
          <w:b/>
          <w:sz w:val="24"/>
          <w:szCs w:val="24"/>
          <w:lang w:val="en-US"/>
        </w:rPr>
        <w:t>.</w:t>
      </w:r>
      <w:proofErr w:type="gramEnd"/>
      <w:r w:rsidR="00DE0EC8" w:rsidRPr="000478B4">
        <w:rPr>
          <w:rFonts w:eastAsia="Calibri"/>
          <w:b/>
          <w:sz w:val="24"/>
          <w:szCs w:val="24"/>
          <w:lang w:val="en-US"/>
        </w:rPr>
        <w:t xml:space="preserve"> </w:t>
      </w:r>
      <w:r w:rsidRPr="000478B4">
        <w:rPr>
          <w:rFonts w:eastAsia="Calibri"/>
          <w:b/>
          <w:sz w:val="24"/>
          <w:szCs w:val="24"/>
          <w:lang w:val="en-US"/>
        </w:rPr>
        <w:t>Dynamics of the loans’ quality of the Ukrainian banks</w:t>
      </w:r>
    </w:p>
    <w:p w:rsidR="00DE0EC8" w:rsidRPr="000478B4" w:rsidRDefault="00AB5BCA" w:rsidP="000478B4">
      <w:pPr>
        <w:ind w:firstLine="567"/>
        <w:contextualSpacing/>
        <w:rPr>
          <w:rFonts w:eastAsia="Calibri"/>
          <w:sz w:val="20"/>
          <w:szCs w:val="20"/>
          <w:lang w:val="en-US"/>
        </w:rPr>
      </w:pPr>
      <w:r w:rsidRPr="000478B4">
        <w:rPr>
          <w:rFonts w:eastAsia="Calibri"/>
          <w:i/>
          <w:sz w:val="20"/>
          <w:szCs w:val="20"/>
          <w:lang w:val="en-US"/>
        </w:rPr>
        <w:t xml:space="preserve">*Complied according to the National Bank of Ukraine </w:t>
      </w:r>
      <w:r w:rsidR="00DE0EC8" w:rsidRPr="000478B4">
        <w:rPr>
          <w:rFonts w:eastAsia="Calibri"/>
          <w:i/>
          <w:sz w:val="20"/>
          <w:szCs w:val="20"/>
          <w:lang w:val="en-US"/>
        </w:rPr>
        <w:t>[</w:t>
      </w:r>
      <w:r w:rsidR="006B09E0" w:rsidRPr="000478B4">
        <w:rPr>
          <w:rFonts w:eastAsia="Calibri"/>
          <w:i/>
          <w:sz w:val="20"/>
          <w:szCs w:val="20"/>
        </w:rPr>
        <w:t>1</w:t>
      </w:r>
      <w:r w:rsidR="007A420B" w:rsidRPr="000478B4">
        <w:rPr>
          <w:rFonts w:eastAsia="Calibri"/>
          <w:i/>
          <w:sz w:val="20"/>
          <w:szCs w:val="20"/>
        </w:rPr>
        <w:t>7</w:t>
      </w:r>
      <w:r w:rsidR="00DE0EC8" w:rsidRPr="000478B4">
        <w:rPr>
          <w:rFonts w:eastAsia="Calibri"/>
          <w:i/>
          <w:sz w:val="20"/>
          <w:szCs w:val="20"/>
          <w:lang w:val="en-US"/>
        </w:rPr>
        <w:t>]</w:t>
      </w:r>
      <w:r w:rsidR="006B09E0" w:rsidRPr="000478B4">
        <w:rPr>
          <w:rFonts w:eastAsia="Calibri"/>
          <w:i/>
          <w:sz w:val="20"/>
          <w:szCs w:val="20"/>
        </w:rPr>
        <w:t>.</w:t>
      </w:r>
      <w:r w:rsidR="00D44FE3" w:rsidRPr="000478B4">
        <w:rPr>
          <w:rFonts w:eastAsia="Calibri"/>
          <w:sz w:val="20"/>
          <w:szCs w:val="20"/>
          <w:lang w:val="en-US"/>
        </w:rPr>
        <w:t xml:space="preserve"> </w:t>
      </w:r>
    </w:p>
    <w:p w:rsidR="000478B4" w:rsidRDefault="000478B4" w:rsidP="000478B4">
      <w:pPr>
        <w:ind w:firstLine="709"/>
        <w:contextualSpacing/>
        <w:rPr>
          <w:rFonts w:eastAsia="Calibri"/>
          <w:sz w:val="24"/>
          <w:szCs w:val="24"/>
          <w:lang w:val="en-US"/>
        </w:rPr>
      </w:pPr>
    </w:p>
    <w:p w:rsidR="00D44FE3" w:rsidRPr="000478B4" w:rsidRDefault="00D44FE3" w:rsidP="000478B4">
      <w:pPr>
        <w:ind w:firstLine="709"/>
        <w:contextualSpacing/>
        <w:rPr>
          <w:rFonts w:eastAsia="Calibri"/>
          <w:sz w:val="24"/>
          <w:szCs w:val="24"/>
          <w:lang w:val="en-US"/>
        </w:rPr>
      </w:pPr>
      <w:r w:rsidRPr="000478B4">
        <w:rPr>
          <w:rFonts w:eastAsia="Calibri"/>
          <w:sz w:val="24"/>
          <w:szCs w:val="24"/>
          <w:lang w:val="en-US"/>
        </w:rPr>
        <w:t xml:space="preserve">A </w:t>
      </w:r>
      <w:r w:rsidR="00EC7706" w:rsidRPr="000478B4">
        <w:rPr>
          <w:rFonts w:eastAsia="Calibri"/>
          <w:sz w:val="24"/>
          <w:szCs w:val="24"/>
          <w:lang w:val="en-US"/>
        </w:rPr>
        <w:t>considerable</w:t>
      </w:r>
      <w:r w:rsidRPr="000478B4">
        <w:rPr>
          <w:rFonts w:eastAsia="Calibri"/>
          <w:sz w:val="24"/>
          <w:szCs w:val="24"/>
          <w:lang w:val="en-US"/>
        </w:rPr>
        <w:t xml:space="preserve"> amount of provisions is directly related to the amount of non-performing loans of domestic banks. Over the last four years, loan protection has fluctuated between 46</w:t>
      </w:r>
      <w:r w:rsidR="00DC581A" w:rsidRPr="000478B4">
        <w:rPr>
          <w:rFonts w:eastAsia="Calibri"/>
          <w:sz w:val="24"/>
          <w:szCs w:val="24"/>
          <w:lang w:val="en-US"/>
        </w:rPr>
        <w:t>%</w:t>
      </w:r>
      <w:r w:rsidRPr="000478B4">
        <w:rPr>
          <w:rFonts w:eastAsia="Calibri"/>
          <w:sz w:val="24"/>
          <w:szCs w:val="24"/>
          <w:lang w:val="en-US"/>
        </w:rPr>
        <w:t xml:space="preserve">-47%. It is important to emphasize that the concealment of non-performing loans and the insufficient level of provisions for loan impairment can </w:t>
      </w:r>
      <w:r w:rsidR="00DC581A" w:rsidRPr="000478B4">
        <w:rPr>
          <w:rFonts w:eastAsia="Calibri"/>
          <w:sz w:val="24"/>
          <w:szCs w:val="24"/>
          <w:lang w:val="en-US"/>
        </w:rPr>
        <w:t>crucially affect</w:t>
      </w:r>
      <w:r w:rsidRPr="000478B4">
        <w:rPr>
          <w:rFonts w:eastAsia="Calibri"/>
          <w:sz w:val="24"/>
          <w:szCs w:val="24"/>
          <w:lang w:val="en-US"/>
        </w:rPr>
        <w:t xml:space="preserve"> the stability of both a particular bank and the banking sector as a whole.</w:t>
      </w:r>
    </w:p>
    <w:p w:rsidR="00DC581A" w:rsidRPr="000478B4" w:rsidRDefault="00DC581A" w:rsidP="000478B4">
      <w:pPr>
        <w:ind w:firstLine="709"/>
        <w:contextualSpacing/>
        <w:rPr>
          <w:rFonts w:eastAsia="Calibri"/>
          <w:sz w:val="24"/>
          <w:szCs w:val="24"/>
          <w:lang w:val="en-US"/>
        </w:rPr>
      </w:pPr>
      <w:r w:rsidRPr="000478B4">
        <w:rPr>
          <w:rFonts w:eastAsia="Calibri"/>
          <w:sz w:val="24"/>
          <w:szCs w:val="24"/>
          <w:lang w:val="en-US"/>
        </w:rPr>
        <w:t xml:space="preserve">The National Bank of Ukraine, which implements </w:t>
      </w:r>
      <w:proofErr w:type="spellStart"/>
      <w:r w:rsidRPr="000478B4">
        <w:rPr>
          <w:rFonts w:eastAsia="Calibri"/>
          <w:sz w:val="24"/>
          <w:szCs w:val="24"/>
          <w:lang w:val="en-US"/>
        </w:rPr>
        <w:t>macroprudential</w:t>
      </w:r>
      <w:proofErr w:type="spellEnd"/>
      <w:r w:rsidRPr="000478B4">
        <w:rPr>
          <w:rFonts w:eastAsia="Calibri"/>
          <w:sz w:val="24"/>
          <w:szCs w:val="24"/>
          <w:lang w:val="en-US"/>
        </w:rPr>
        <w:t xml:space="preserve"> policy, supervises banks (in particular, compliance with mandatory </w:t>
      </w:r>
      <w:r w:rsidR="00EC7706" w:rsidRPr="000478B4">
        <w:rPr>
          <w:rFonts w:eastAsia="Calibri"/>
          <w:sz w:val="24"/>
          <w:szCs w:val="24"/>
          <w:lang w:val="en-US"/>
        </w:rPr>
        <w:t>ratios</w:t>
      </w:r>
      <w:r w:rsidRPr="000478B4">
        <w:rPr>
          <w:rFonts w:eastAsia="Calibri"/>
          <w:sz w:val="24"/>
          <w:szCs w:val="24"/>
          <w:lang w:val="en-US"/>
        </w:rPr>
        <w:t xml:space="preserve">), performs their stress testing and contributes to the financial </w:t>
      </w:r>
      <w:r w:rsidR="0048150C" w:rsidRPr="000478B4">
        <w:rPr>
          <w:rFonts w:eastAsia="Calibri"/>
          <w:sz w:val="24"/>
          <w:szCs w:val="24"/>
          <w:lang w:val="en-US"/>
        </w:rPr>
        <w:t>health</w:t>
      </w:r>
      <w:r w:rsidRPr="000478B4">
        <w:rPr>
          <w:rFonts w:eastAsia="Calibri"/>
          <w:sz w:val="24"/>
          <w:szCs w:val="24"/>
          <w:lang w:val="en-US"/>
        </w:rPr>
        <w:t xml:space="preserve"> of banks, especially systemically important ones</w:t>
      </w:r>
      <w:r w:rsidR="0048150C" w:rsidRPr="000478B4">
        <w:rPr>
          <w:rFonts w:eastAsia="Calibri"/>
          <w:sz w:val="24"/>
          <w:szCs w:val="24"/>
          <w:lang w:val="en-US"/>
        </w:rPr>
        <w:t>,</w:t>
      </w:r>
      <w:r w:rsidRPr="000478B4">
        <w:rPr>
          <w:rFonts w:eastAsia="Calibri"/>
          <w:sz w:val="24"/>
          <w:szCs w:val="24"/>
          <w:lang w:val="en-US"/>
        </w:rPr>
        <w:t xml:space="preserve"> plays an important role in ensuring the financial stability</w:t>
      </w:r>
      <w:r w:rsidR="0048150C" w:rsidRPr="000478B4">
        <w:rPr>
          <w:rFonts w:eastAsia="Calibri"/>
          <w:sz w:val="24"/>
          <w:szCs w:val="24"/>
          <w:lang w:val="en-US"/>
        </w:rPr>
        <w:t>.</w:t>
      </w:r>
      <w:r w:rsidRPr="000478B4">
        <w:rPr>
          <w:rFonts w:eastAsia="Calibri"/>
          <w:sz w:val="24"/>
          <w:szCs w:val="24"/>
          <w:lang w:val="en-US"/>
        </w:rPr>
        <w:t xml:space="preserve"> The main indicators of </w:t>
      </w:r>
      <w:r w:rsidR="0048150C" w:rsidRPr="000478B4">
        <w:rPr>
          <w:rFonts w:eastAsia="Calibri"/>
          <w:sz w:val="24"/>
          <w:szCs w:val="24"/>
          <w:lang w:val="en-US"/>
        </w:rPr>
        <w:t xml:space="preserve">the </w:t>
      </w:r>
      <w:r w:rsidRPr="000478B4">
        <w:rPr>
          <w:rFonts w:eastAsia="Calibri"/>
          <w:sz w:val="24"/>
          <w:szCs w:val="24"/>
          <w:lang w:val="en-US"/>
        </w:rPr>
        <w:t xml:space="preserve">financial stability of </w:t>
      </w:r>
      <w:r w:rsidR="0048150C" w:rsidRPr="000478B4">
        <w:rPr>
          <w:rFonts w:eastAsia="Calibri"/>
          <w:sz w:val="24"/>
          <w:szCs w:val="24"/>
          <w:lang w:val="en-US"/>
        </w:rPr>
        <w:t xml:space="preserve">the </w:t>
      </w:r>
      <w:r w:rsidRPr="000478B4">
        <w:rPr>
          <w:rFonts w:eastAsia="Calibri"/>
          <w:sz w:val="24"/>
          <w:szCs w:val="24"/>
          <w:lang w:val="en-US"/>
        </w:rPr>
        <w:t xml:space="preserve">Ukrainian banks, which are used to assess the effectiveness of their </w:t>
      </w:r>
      <w:r w:rsidR="0048150C" w:rsidRPr="000478B4">
        <w:rPr>
          <w:rFonts w:eastAsia="Calibri"/>
          <w:sz w:val="24"/>
          <w:szCs w:val="24"/>
          <w:lang w:val="en-US"/>
        </w:rPr>
        <w:t>performance</w:t>
      </w:r>
      <w:r w:rsidRPr="000478B4">
        <w:rPr>
          <w:rFonts w:eastAsia="Calibri"/>
          <w:sz w:val="24"/>
          <w:szCs w:val="24"/>
          <w:lang w:val="en-US"/>
        </w:rPr>
        <w:t>, are calculated by the NBU on the basis of the IMF methodology. The main areas of analysis are: capital adequacy, asset quality, profit and profitability, liquidity, sensitivity to market risk (Table 3).</w:t>
      </w:r>
    </w:p>
    <w:p w:rsidR="00DE0EC8" w:rsidRPr="000478B4" w:rsidRDefault="0092433E" w:rsidP="000478B4">
      <w:pPr>
        <w:ind w:firstLine="567"/>
        <w:contextualSpacing/>
        <w:jc w:val="right"/>
        <w:rPr>
          <w:rFonts w:eastAsia="Calibri"/>
          <w:b/>
          <w:sz w:val="24"/>
          <w:szCs w:val="24"/>
          <w:lang w:val="en-US"/>
        </w:rPr>
      </w:pPr>
      <w:r w:rsidRPr="000478B4">
        <w:rPr>
          <w:rFonts w:eastAsia="Calibri"/>
          <w:b/>
          <w:sz w:val="24"/>
          <w:szCs w:val="24"/>
          <w:lang w:val="en-US"/>
        </w:rPr>
        <w:t>Table</w:t>
      </w:r>
      <w:r w:rsidR="00DE0EC8" w:rsidRPr="000478B4">
        <w:rPr>
          <w:rFonts w:eastAsia="Calibri"/>
          <w:b/>
          <w:sz w:val="24"/>
          <w:szCs w:val="24"/>
          <w:lang w:val="en-US"/>
        </w:rPr>
        <w:t xml:space="preserve"> </w:t>
      </w:r>
      <w:r w:rsidR="00597221" w:rsidRPr="000478B4">
        <w:rPr>
          <w:rFonts w:eastAsia="Calibri"/>
          <w:b/>
          <w:sz w:val="24"/>
          <w:szCs w:val="24"/>
          <w:lang w:val="en-US"/>
        </w:rPr>
        <w:t>3</w:t>
      </w:r>
    </w:p>
    <w:p w:rsidR="00DE0EC8" w:rsidRPr="000478B4" w:rsidRDefault="0092433E" w:rsidP="000478B4">
      <w:pPr>
        <w:contextualSpacing/>
        <w:jc w:val="center"/>
        <w:rPr>
          <w:rFonts w:eastAsia="Calibri"/>
          <w:b/>
          <w:sz w:val="24"/>
          <w:szCs w:val="24"/>
          <w:lang w:val="en-US"/>
        </w:rPr>
      </w:pPr>
      <w:r w:rsidRPr="000478B4">
        <w:rPr>
          <w:rFonts w:eastAsia="Calibri"/>
          <w:b/>
          <w:sz w:val="24"/>
          <w:szCs w:val="24"/>
          <w:lang w:val="en-US"/>
        </w:rPr>
        <w:t>The main financial stability indicators of the Ukrainian banks in 2016-2020 (as of the end of the period)</w:t>
      </w:r>
    </w:p>
    <w:tbl>
      <w:tblPr>
        <w:tblW w:w="471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9"/>
        <w:gridCol w:w="945"/>
        <w:gridCol w:w="946"/>
        <w:gridCol w:w="946"/>
        <w:gridCol w:w="946"/>
        <w:gridCol w:w="946"/>
      </w:tblGrid>
      <w:tr w:rsidR="00DE0EC8" w:rsidRPr="000478B4" w:rsidTr="007F254D">
        <w:trPr>
          <w:trHeight w:val="306"/>
        </w:trPr>
        <w:tc>
          <w:tcPr>
            <w:tcW w:w="4307" w:type="dxa"/>
            <w:shd w:val="clear" w:color="auto" w:fill="auto"/>
          </w:tcPr>
          <w:p w:rsidR="00DE0EC8" w:rsidRPr="000478B4" w:rsidRDefault="00597221" w:rsidP="000478B4">
            <w:pPr>
              <w:jc w:val="center"/>
              <w:rPr>
                <w:rFonts w:eastAsia="Calibri"/>
                <w:sz w:val="22"/>
                <w:szCs w:val="22"/>
                <w:lang w:val="en-US"/>
              </w:rPr>
            </w:pPr>
            <w:r w:rsidRPr="000478B4">
              <w:rPr>
                <w:rFonts w:eastAsia="Times New Roman"/>
                <w:sz w:val="22"/>
                <w:szCs w:val="22"/>
                <w:lang w:val="en-US" w:eastAsia="ru-RU"/>
              </w:rPr>
              <w:t>Indicators</w:t>
            </w:r>
          </w:p>
        </w:tc>
        <w:tc>
          <w:tcPr>
            <w:tcW w:w="891" w:type="dxa"/>
            <w:shd w:val="clear" w:color="auto" w:fill="auto"/>
            <w:noWrap/>
            <w:vAlign w:val="center"/>
          </w:tcPr>
          <w:p w:rsidR="00DE0EC8" w:rsidRPr="000478B4" w:rsidRDefault="00DE0EC8" w:rsidP="000478B4">
            <w:pPr>
              <w:ind w:left="-136" w:right="-54"/>
              <w:jc w:val="center"/>
              <w:rPr>
                <w:rFonts w:eastAsia="Calibri"/>
                <w:sz w:val="22"/>
                <w:szCs w:val="22"/>
                <w:lang w:val="en-US"/>
              </w:rPr>
            </w:pPr>
            <w:r w:rsidRPr="000478B4">
              <w:rPr>
                <w:rFonts w:eastAsia="Calibri"/>
                <w:sz w:val="22"/>
                <w:szCs w:val="22"/>
                <w:lang w:val="en-US"/>
              </w:rPr>
              <w:t>2016</w:t>
            </w:r>
          </w:p>
        </w:tc>
        <w:tc>
          <w:tcPr>
            <w:tcW w:w="891" w:type="dxa"/>
            <w:shd w:val="clear" w:color="auto" w:fill="auto"/>
            <w:vAlign w:val="center"/>
          </w:tcPr>
          <w:p w:rsidR="00DE0EC8" w:rsidRPr="000478B4" w:rsidRDefault="00DE0EC8" w:rsidP="000478B4">
            <w:pPr>
              <w:ind w:left="-136" w:right="-54"/>
              <w:jc w:val="center"/>
              <w:rPr>
                <w:rFonts w:eastAsia="Calibri"/>
                <w:sz w:val="22"/>
                <w:szCs w:val="22"/>
                <w:lang w:val="en-US"/>
              </w:rPr>
            </w:pPr>
            <w:r w:rsidRPr="000478B4">
              <w:rPr>
                <w:rFonts w:eastAsia="Calibri"/>
                <w:sz w:val="22"/>
                <w:szCs w:val="22"/>
                <w:lang w:val="en-US"/>
              </w:rPr>
              <w:t>2017</w:t>
            </w:r>
          </w:p>
        </w:tc>
        <w:tc>
          <w:tcPr>
            <w:tcW w:w="891" w:type="dxa"/>
            <w:shd w:val="clear" w:color="auto" w:fill="auto"/>
            <w:noWrap/>
            <w:vAlign w:val="center"/>
          </w:tcPr>
          <w:p w:rsidR="00DE0EC8" w:rsidRPr="000478B4" w:rsidRDefault="00DE0EC8" w:rsidP="000478B4">
            <w:pPr>
              <w:ind w:left="-136" w:right="-54"/>
              <w:jc w:val="center"/>
              <w:rPr>
                <w:rFonts w:eastAsia="Calibri"/>
                <w:sz w:val="22"/>
                <w:szCs w:val="22"/>
                <w:lang w:val="en-US"/>
              </w:rPr>
            </w:pPr>
            <w:r w:rsidRPr="000478B4">
              <w:rPr>
                <w:rFonts w:eastAsia="Calibri"/>
                <w:sz w:val="22"/>
                <w:szCs w:val="22"/>
                <w:lang w:val="en-US"/>
              </w:rPr>
              <w:t>2018</w:t>
            </w:r>
          </w:p>
        </w:tc>
        <w:tc>
          <w:tcPr>
            <w:tcW w:w="891" w:type="dxa"/>
            <w:shd w:val="clear" w:color="auto" w:fill="auto"/>
            <w:vAlign w:val="center"/>
          </w:tcPr>
          <w:p w:rsidR="00DE0EC8" w:rsidRPr="000478B4" w:rsidRDefault="00DE0EC8" w:rsidP="000478B4">
            <w:pPr>
              <w:ind w:left="-136" w:right="-54"/>
              <w:jc w:val="center"/>
              <w:rPr>
                <w:rFonts w:eastAsia="Calibri"/>
                <w:sz w:val="22"/>
                <w:szCs w:val="22"/>
                <w:lang w:val="en-US"/>
              </w:rPr>
            </w:pPr>
            <w:r w:rsidRPr="000478B4">
              <w:rPr>
                <w:rFonts w:eastAsia="Calibri"/>
                <w:sz w:val="22"/>
                <w:szCs w:val="22"/>
                <w:lang w:val="en-US"/>
              </w:rPr>
              <w:t>2019</w:t>
            </w:r>
          </w:p>
        </w:tc>
        <w:tc>
          <w:tcPr>
            <w:tcW w:w="891" w:type="dxa"/>
            <w:shd w:val="clear" w:color="auto" w:fill="auto"/>
            <w:vAlign w:val="center"/>
          </w:tcPr>
          <w:p w:rsidR="00DE0EC8" w:rsidRPr="000478B4" w:rsidRDefault="00DE0EC8" w:rsidP="000478B4">
            <w:pPr>
              <w:ind w:left="-136" w:right="-54"/>
              <w:jc w:val="center"/>
              <w:rPr>
                <w:rFonts w:eastAsia="Calibri"/>
                <w:sz w:val="22"/>
                <w:szCs w:val="22"/>
                <w:lang w:val="en-US"/>
              </w:rPr>
            </w:pPr>
            <w:r w:rsidRPr="000478B4">
              <w:rPr>
                <w:rFonts w:eastAsia="Calibri"/>
                <w:sz w:val="22"/>
                <w:szCs w:val="22"/>
                <w:lang w:val="en-US"/>
              </w:rPr>
              <w:t>2020*</w:t>
            </w:r>
          </w:p>
        </w:tc>
      </w:tr>
      <w:tr w:rsidR="00DE0EC8" w:rsidRPr="000478B4" w:rsidTr="007F254D">
        <w:trPr>
          <w:trHeight w:val="20"/>
        </w:trPr>
        <w:tc>
          <w:tcPr>
            <w:tcW w:w="4307" w:type="dxa"/>
            <w:shd w:val="clear" w:color="auto" w:fill="auto"/>
          </w:tcPr>
          <w:p w:rsidR="00DE0EC8" w:rsidRPr="000478B4" w:rsidRDefault="00DE0EC8" w:rsidP="000478B4">
            <w:pPr>
              <w:jc w:val="left"/>
              <w:rPr>
                <w:rFonts w:eastAsia="Calibri"/>
                <w:sz w:val="22"/>
                <w:szCs w:val="22"/>
                <w:lang w:val="en-US"/>
              </w:rPr>
            </w:pPr>
            <w:r w:rsidRPr="000478B4">
              <w:rPr>
                <w:rFonts w:eastAsia="Calibri"/>
                <w:sz w:val="22"/>
                <w:szCs w:val="22"/>
                <w:lang w:val="en-US"/>
              </w:rPr>
              <w:t>І1 –</w:t>
            </w:r>
            <w:r w:rsidR="00597221" w:rsidRPr="000478B4">
              <w:rPr>
                <w:rFonts w:eastAsia="Calibri"/>
                <w:sz w:val="22"/>
                <w:szCs w:val="22"/>
                <w:lang w:val="en-US"/>
              </w:rPr>
              <w:t xml:space="preserve"> Regulatory capital to risk-weighted assets ratio</w:t>
            </w:r>
          </w:p>
        </w:tc>
        <w:tc>
          <w:tcPr>
            <w:tcW w:w="891" w:type="dxa"/>
            <w:shd w:val="clear" w:color="auto" w:fill="auto"/>
            <w:noWrap/>
            <w:vAlign w:val="center"/>
          </w:tcPr>
          <w:p w:rsidR="00DE0EC8" w:rsidRPr="000478B4" w:rsidRDefault="00DE0EC8" w:rsidP="000478B4">
            <w:pPr>
              <w:jc w:val="center"/>
              <w:rPr>
                <w:rFonts w:eastAsia="Calibri"/>
                <w:sz w:val="22"/>
                <w:szCs w:val="22"/>
                <w:lang w:val="en-US"/>
              </w:rPr>
            </w:pPr>
            <w:r w:rsidRPr="000478B4">
              <w:rPr>
                <w:rFonts w:eastAsia="Calibri"/>
                <w:sz w:val="22"/>
                <w:szCs w:val="22"/>
                <w:lang w:val="en-US"/>
              </w:rPr>
              <w:t>12</w:t>
            </w:r>
            <w:r w:rsidR="00E101EF" w:rsidRPr="000478B4">
              <w:rPr>
                <w:rFonts w:eastAsia="Calibri"/>
                <w:sz w:val="22"/>
                <w:szCs w:val="22"/>
                <w:lang w:val="en-US"/>
              </w:rPr>
              <w:t>.</w:t>
            </w:r>
            <w:r w:rsidRPr="000478B4">
              <w:rPr>
                <w:rFonts w:eastAsia="Calibri"/>
                <w:sz w:val="22"/>
                <w:szCs w:val="22"/>
                <w:lang w:val="en-US"/>
              </w:rPr>
              <w:t>69</w:t>
            </w:r>
          </w:p>
        </w:tc>
        <w:tc>
          <w:tcPr>
            <w:tcW w:w="891" w:type="dxa"/>
            <w:shd w:val="clear" w:color="auto" w:fill="auto"/>
            <w:vAlign w:val="center"/>
          </w:tcPr>
          <w:p w:rsidR="00DE0EC8" w:rsidRPr="000478B4" w:rsidRDefault="00DE0EC8" w:rsidP="000478B4">
            <w:pPr>
              <w:jc w:val="center"/>
              <w:rPr>
                <w:rFonts w:eastAsia="Calibri"/>
                <w:sz w:val="22"/>
                <w:szCs w:val="22"/>
                <w:lang w:val="en-US"/>
              </w:rPr>
            </w:pPr>
            <w:r w:rsidRPr="000478B4">
              <w:rPr>
                <w:rFonts w:eastAsia="Calibri"/>
                <w:sz w:val="22"/>
                <w:szCs w:val="22"/>
                <w:lang w:val="en-US"/>
              </w:rPr>
              <w:t>16</w:t>
            </w:r>
            <w:r w:rsidR="00E101EF" w:rsidRPr="000478B4">
              <w:rPr>
                <w:rFonts w:eastAsia="Calibri"/>
                <w:sz w:val="22"/>
                <w:szCs w:val="22"/>
                <w:lang w:val="en-US"/>
              </w:rPr>
              <w:t>.</w:t>
            </w:r>
            <w:r w:rsidRPr="000478B4">
              <w:rPr>
                <w:rFonts w:eastAsia="Calibri"/>
                <w:sz w:val="22"/>
                <w:szCs w:val="22"/>
                <w:lang w:val="en-US"/>
              </w:rPr>
              <w:t>10</w:t>
            </w:r>
          </w:p>
        </w:tc>
        <w:tc>
          <w:tcPr>
            <w:tcW w:w="891" w:type="dxa"/>
            <w:shd w:val="clear" w:color="auto" w:fill="auto"/>
            <w:noWrap/>
            <w:vAlign w:val="center"/>
          </w:tcPr>
          <w:p w:rsidR="00DE0EC8" w:rsidRPr="000478B4" w:rsidRDefault="00DE0EC8" w:rsidP="000478B4">
            <w:pPr>
              <w:jc w:val="center"/>
              <w:rPr>
                <w:rFonts w:eastAsia="Calibri"/>
                <w:sz w:val="22"/>
                <w:szCs w:val="22"/>
                <w:lang w:val="en-US"/>
              </w:rPr>
            </w:pPr>
            <w:r w:rsidRPr="000478B4">
              <w:rPr>
                <w:rFonts w:eastAsia="Calibri"/>
                <w:sz w:val="22"/>
                <w:szCs w:val="22"/>
                <w:lang w:val="en-US"/>
              </w:rPr>
              <w:t>16</w:t>
            </w:r>
            <w:r w:rsidR="00E101EF" w:rsidRPr="000478B4">
              <w:rPr>
                <w:rFonts w:eastAsia="Calibri"/>
                <w:sz w:val="22"/>
                <w:szCs w:val="22"/>
                <w:lang w:val="en-US"/>
              </w:rPr>
              <w:t>.</w:t>
            </w:r>
            <w:r w:rsidRPr="000478B4">
              <w:rPr>
                <w:rFonts w:eastAsia="Calibri"/>
                <w:sz w:val="22"/>
                <w:szCs w:val="22"/>
                <w:lang w:val="en-US"/>
              </w:rPr>
              <w:t>18</w:t>
            </w:r>
          </w:p>
        </w:tc>
        <w:tc>
          <w:tcPr>
            <w:tcW w:w="891" w:type="dxa"/>
            <w:shd w:val="clear" w:color="auto" w:fill="auto"/>
            <w:vAlign w:val="center"/>
          </w:tcPr>
          <w:p w:rsidR="00DE0EC8" w:rsidRPr="000478B4" w:rsidRDefault="00DE0EC8" w:rsidP="000478B4">
            <w:pPr>
              <w:jc w:val="center"/>
              <w:rPr>
                <w:rFonts w:eastAsia="Calibri"/>
                <w:sz w:val="22"/>
                <w:szCs w:val="22"/>
                <w:lang w:val="en-US"/>
              </w:rPr>
            </w:pPr>
            <w:r w:rsidRPr="000478B4">
              <w:rPr>
                <w:rFonts w:eastAsia="Calibri"/>
                <w:sz w:val="22"/>
                <w:szCs w:val="22"/>
                <w:lang w:val="en-US"/>
              </w:rPr>
              <w:t>19</w:t>
            </w:r>
            <w:r w:rsidR="00E101EF" w:rsidRPr="000478B4">
              <w:rPr>
                <w:rFonts w:eastAsia="Calibri"/>
                <w:sz w:val="22"/>
                <w:szCs w:val="22"/>
                <w:lang w:val="en-US"/>
              </w:rPr>
              <w:t>.</w:t>
            </w:r>
            <w:r w:rsidRPr="000478B4">
              <w:rPr>
                <w:rFonts w:eastAsia="Calibri"/>
                <w:sz w:val="22"/>
                <w:szCs w:val="22"/>
                <w:lang w:val="en-US"/>
              </w:rPr>
              <w:t>66</w:t>
            </w:r>
          </w:p>
        </w:tc>
        <w:tc>
          <w:tcPr>
            <w:tcW w:w="891" w:type="dxa"/>
            <w:shd w:val="clear" w:color="auto" w:fill="auto"/>
            <w:vAlign w:val="center"/>
          </w:tcPr>
          <w:p w:rsidR="00DE0EC8" w:rsidRPr="000478B4" w:rsidRDefault="00DE0EC8" w:rsidP="000478B4">
            <w:pPr>
              <w:jc w:val="center"/>
              <w:rPr>
                <w:rFonts w:eastAsia="Calibri"/>
                <w:sz w:val="22"/>
                <w:szCs w:val="22"/>
                <w:lang w:val="en-US"/>
              </w:rPr>
            </w:pPr>
            <w:r w:rsidRPr="000478B4">
              <w:rPr>
                <w:rFonts w:eastAsia="Calibri"/>
                <w:sz w:val="22"/>
                <w:szCs w:val="22"/>
                <w:lang w:val="en-US"/>
              </w:rPr>
              <w:t>21</w:t>
            </w:r>
            <w:r w:rsidR="00E101EF" w:rsidRPr="000478B4">
              <w:rPr>
                <w:rFonts w:eastAsia="Calibri"/>
                <w:sz w:val="22"/>
                <w:szCs w:val="22"/>
                <w:lang w:val="en-US"/>
              </w:rPr>
              <w:t>.</w:t>
            </w:r>
            <w:r w:rsidRPr="000478B4">
              <w:rPr>
                <w:rFonts w:eastAsia="Calibri"/>
                <w:sz w:val="22"/>
                <w:szCs w:val="22"/>
                <w:lang w:val="en-US"/>
              </w:rPr>
              <w:t>91</w:t>
            </w:r>
          </w:p>
        </w:tc>
      </w:tr>
      <w:tr w:rsidR="00597221" w:rsidRPr="000478B4" w:rsidTr="007F254D">
        <w:trPr>
          <w:trHeight w:val="20"/>
        </w:trPr>
        <w:tc>
          <w:tcPr>
            <w:tcW w:w="4307" w:type="dxa"/>
            <w:shd w:val="clear" w:color="auto" w:fill="auto"/>
          </w:tcPr>
          <w:p w:rsidR="00597221" w:rsidRPr="000478B4" w:rsidRDefault="00597221" w:rsidP="000478B4">
            <w:pPr>
              <w:rPr>
                <w:sz w:val="22"/>
                <w:szCs w:val="22"/>
                <w:lang w:val="en-US"/>
              </w:rPr>
            </w:pPr>
            <w:r w:rsidRPr="000478B4">
              <w:rPr>
                <w:sz w:val="22"/>
                <w:szCs w:val="22"/>
                <w:lang w:val="en-US"/>
              </w:rPr>
              <w:t xml:space="preserve">I2 </w:t>
            </w:r>
            <w:r w:rsidR="0092433E" w:rsidRPr="000478B4">
              <w:rPr>
                <w:sz w:val="22"/>
                <w:szCs w:val="22"/>
                <w:lang w:val="en-US"/>
              </w:rPr>
              <w:t>–</w:t>
            </w:r>
            <w:r w:rsidRPr="000478B4">
              <w:rPr>
                <w:sz w:val="22"/>
                <w:szCs w:val="22"/>
                <w:lang w:val="en-US"/>
              </w:rPr>
              <w:t xml:space="preserve"> Tier 1 regulatory capital to risk-weighted assets ratio</w:t>
            </w:r>
          </w:p>
        </w:tc>
        <w:tc>
          <w:tcPr>
            <w:tcW w:w="891" w:type="dxa"/>
            <w:shd w:val="clear" w:color="auto" w:fill="auto"/>
            <w:vAlign w:val="center"/>
          </w:tcPr>
          <w:p w:rsidR="00597221" w:rsidRPr="000478B4" w:rsidRDefault="00597221" w:rsidP="000478B4">
            <w:pPr>
              <w:jc w:val="center"/>
              <w:rPr>
                <w:rFonts w:eastAsia="Calibri"/>
                <w:sz w:val="22"/>
                <w:szCs w:val="22"/>
                <w:lang w:val="en-US"/>
              </w:rPr>
            </w:pPr>
            <w:r w:rsidRPr="000478B4">
              <w:rPr>
                <w:rFonts w:eastAsia="Calibri"/>
                <w:sz w:val="22"/>
                <w:szCs w:val="22"/>
                <w:lang w:val="en-US"/>
              </w:rPr>
              <w:t>8</w:t>
            </w:r>
            <w:r w:rsidR="00E101EF" w:rsidRPr="000478B4">
              <w:rPr>
                <w:rFonts w:eastAsia="Calibri"/>
                <w:sz w:val="22"/>
                <w:szCs w:val="22"/>
                <w:lang w:val="en-US"/>
              </w:rPr>
              <w:t>.</w:t>
            </w:r>
            <w:r w:rsidRPr="000478B4">
              <w:rPr>
                <w:rFonts w:eastAsia="Calibri"/>
                <w:sz w:val="22"/>
                <w:szCs w:val="22"/>
                <w:lang w:val="en-US"/>
              </w:rPr>
              <w:t>96</w:t>
            </w:r>
          </w:p>
        </w:tc>
        <w:tc>
          <w:tcPr>
            <w:tcW w:w="891" w:type="dxa"/>
            <w:shd w:val="clear" w:color="auto" w:fill="auto"/>
            <w:vAlign w:val="center"/>
          </w:tcPr>
          <w:p w:rsidR="00597221" w:rsidRPr="000478B4" w:rsidRDefault="00597221" w:rsidP="000478B4">
            <w:pPr>
              <w:jc w:val="center"/>
              <w:rPr>
                <w:rFonts w:eastAsia="Calibri"/>
                <w:sz w:val="22"/>
                <w:szCs w:val="22"/>
                <w:lang w:val="en-US"/>
              </w:rPr>
            </w:pPr>
            <w:r w:rsidRPr="000478B4">
              <w:rPr>
                <w:rFonts w:eastAsia="Calibri"/>
                <w:sz w:val="22"/>
                <w:szCs w:val="22"/>
                <w:lang w:val="en-US"/>
              </w:rPr>
              <w:t>12</w:t>
            </w:r>
            <w:r w:rsidR="00E101EF" w:rsidRPr="000478B4">
              <w:rPr>
                <w:rFonts w:eastAsia="Calibri"/>
                <w:sz w:val="22"/>
                <w:szCs w:val="22"/>
                <w:lang w:val="en-US"/>
              </w:rPr>
              <w:t>.</w:t>
            </w:r>
            <w:r w:rsidRPr="000478B4">
              <w:rPr>
                <w:rFonts w:eastAsia="Calibri"/>
                <w:sz w:val="22"/>
                <w:szCs w:val="22"/>
                <w:lang w:val="en-US"/>
              </w:rPr>
              <w:t>12</w:t>
            </w:r>
          </w:p>
        </w:tc>
        <w:tc>
          <w:tcPr>
            <w:tcW w:w="891" w:type="dxa"/>
            <w:shd w:val="clear" w:color="auto" w:fill="auto"/>
            <w:noWrap/>
            <w:vAlign w:val="center"/>
          </w:tcPr>
          <w:p w:rsidR="00597221" w:rsidRPr="000478B4" w:rsidRDefault="00597221" w:rsidP="000478B4">
            <w:pPr>
              <w:jc w:val="center"/>
              <w:rPr>
                <w:rFonts w:eastAsia="Calibri"/>
                <w:sz w:val="22"/>
                <w:szCs w:val="22"/>
                <w:lang w:val="en-US"/>
              </w:rPr>
            </w:pPr>
            <w:r w:rsidRPr="000478B4">
              <w:rPr>
                <w:rFonts w:eastAsia="Calibri"/>
                <w:sz w:val="22"/>
                <w:szCs w:val="22"/>
                <w:lang w:val="en-US"/>
              </w:rPr>
              <w:t>10</w:t>
            </w:r>
            <w:r w:rsidR="00E101EF" w:rsidRPr="000478B4">
              <w:rPr>
                <w:rFonts w:eastAsia="Calibri"/>
                <w:sz w:val="22"/>
                <w:szCs w:val="22"/>
                <w:lang w:val="en-US"/>
              </w:rPr>
              <w:t>.</w:t>
            </w:r>
            <w:r w:rsidRPr="000478B4">
              <w:rPr>
                <w:rFonts w:eastAsia="Calibri"/>
                <w:sz w:val="22"/>
                <w:szCs w:val="22"/>
                <w:lang w:val="en-US"/>
              </w:rPr>
              <w:t>52</w:t>
            </w:r>
          </w:p>
        </w:tc>
        <w:tc>
          <w:tcPr>
            <w:tcW w:w="891" w:type="dxa"/>
            <w:shd w:val="clear" w:color="auto" w:fill="auto"/>
            <w:vAlign w:val="center"/>
          </w:tcPr>
          <w:p w:rsidR="00597221" w:rsidRPr="000478B4" w:rsidRDefault="00597221" w:rsidP="000478B4">
            <w:pPr>
              <w:jc w:val="center"/>
              <w:rPr>
                <w:rFonts w:eastAsia="Calibri"/>
                <w:sz w:val="22"/>
                <w:szCs w:val="22"/>
                <w:lang w:val="en-US"/>
              </w:rPr>
            </w:pPr>
            <w:r w:rsidRPr="000478B4">
              <w:rPr>
                <w:rFonts w:eastAsia="Calibri"/>
                <w:sz w:val="22"/>
                <w:szCs w:val="22"/>
                <w:lang w:val="en-US"/>
              </w:rPr>
              <w:t>13</w:t>
            </w:r>
            <w:r w:rsidR="00E101EF" w:rsidRPr="000478B4">
              <w:rPr>
                <w:rFonts w:eastAsia="Calibri"/>
                <w:sz w:val="22"/>
                <w:szCs w:val="22"/>
                <w:lang w:val="en-US"/>
              </w:rPr>
              <w:t>.</w:t>
            </w:r>
            <w:r w:rsidRPr="000478B4">
              <w:rPr>
                <w:rFonts w:eastAsia="Calibri"/>
                <w:sz w:val="22"/>
                <w:szCs w:val="22"/>
                <w:lang w:val="en-US"/>
              </w:rPr>
              <w:t>50</w:t>
            </w:r>
          </w:p>
        </w:tc>
        <w:tc>
          <w:tcPr>
            <w:tcW w:w="891" w:type="dxa"/>
            <w:shd w:val="clear" w:color="auto" w:fill="auto"/>
            <w:vAlign w:val="center"/>
          </w:tcPr>
          <w:p w:rsidR="00597221" w:rsidRPr="000478B4" w:rsidRDefault="00597221" w:rsidP="000478B4">
            <w:pPr>
              <w:jc w:val="center"/>
              <w:rPr>
                <w:rFonts w:eastAsia="Calibri"/>
                <w:sz w:val="22"/>
                <w:szCs w:val="22"/>
                <w:lang w:val="en-US"/>
              </w:rPr>
            </w:pPr>
            <w:r w:rsidRPr="000478B4">
              <w:rPr>
                <w:rFonts w:eastAsia="Calibri"/>
                <w:sz w:val="22"/>
                <w:szCs w:val="22"/>
                <w:lang w:val="en-US"/>
              </w:rPr>
              <w:t>16</w:t>
            </w:r>
            <w:r w:rsidR="00E101EF" w:rsidRPr="000478B4">
              <w:rPr>
                <w:rFonts w:eastAsia="Calibri"/>
                <w:sz w:val="22"/>
                <w:szCs w:val="22"/>
                <w:lang w:val="en-US"/>
              </w:rPr>
              <w:t>.</w:t>
            </w:r>
            <w:r w:rsidRPr="000478B4">
              <w:rPr>
                <w:rFonts w:eastAsia="Calibri"/>
                <w:sz w:val="22"/>
                <w:szCs w:val="22"/>
                <w:lang w:val="en-US"/>
              </w:rPr>
              <w:t>05</w:t>
            </w:r>
          </w:p>
        </w:tc>
      </w:tr>
      <w:tr w:rsidR="00597221" w:rsidRPr="000478B4" w:rsidTr="007F254D">
        <w:trPr>
          <w:trHeight w:val="20"/>
        </w:trPr>
        <w:tc>
          <w:tcPr>
            <w:tcW w:w="4307" w:type="dxa"/>
            <w:shd w:val="clear" w:color="auto" w:fill="auto"/>
          </w:tcPr>
          <w:p w:rsidR="00597221" w:rsidRPr="000478B4" w:rsidRDefault="00597221" w:rsidP="000478B4">
            <w:pPr>
              <w:rPr>
                <w:sz w:val="22"/>
                <w:szCs w:val="22"/>
                <w:lang w:val="en-US"/>
              </w:rPr>
            </w:pPr>
            <w:r w:rsidRPr="000478B4">
              <w:rPr>
                <w:sz w:val="22"/>
                <w:szCs w:val="22"/>
                <w:lang w:val="en-US"/>
              </w:rPr>
              <w:t>I3</w:t>
            </w:r>
            <w:r w:rsidR="0092433E" w:rsidRPr="000478B4">
              <w:rPr>
                <w:sz w:val="22"/>
                <w:szCs w:val="22"/>
                <w:lang w:val="en-US"/>
              </w:rPr>
              <w:t xml:space="preserve"> </w:t>
            </w:r>
            <w:r w:rsidRPr="000478B4">
              <w:rPr>
                <w:sz w:val="22"/>
                <w:szCs w:val="22"/>
                <w:lang w:val="en-US"/>
              </w:rPr>
              <w:t>–</w:t>
            </w:r>
            <w:r w:rsidR="00463915" w:rsidRPr="000478B4">
              <w:rPr>
                <w:sz w:val="22"/>
                <w:szCs w:val="22"/>
                <w:lang w:val="en-US"/>
              </w:rPr>
              <w:t xml:space="preserve"> N</w:t>
            </w:r>
            <w:r w:rsidRPr="000478B4">
              <w:rPr>
                <w:sz w:val="22"/>
                <w:szCs w:val="22"/>
                <w:lang w:val="en-US"/>
              </w:rPr>
              <w:t>on-performing loans excluding reserves to capital ratio</w:t>
            </w:r>
          </w:p>
        </w:tc>
        <w:tc>
          <w:tcPr>
            <w:tcW w:w="891" w:type="dxa"/>
            <w:shd w:val="clear" w:color="auto" w:fill="auto"/>
            <w:noWrap/>
            <w:vAlign w:val="center"/>
          </w:tcPr>
          <w:p w:rsidR="00597221" w:rsidRPr="000478B4" w:rsidRDefault="00597221" w:rsidP="000478B4">
            <w:pPr>
              <w:jc w:val="center"/>
              <w:rPr>
                <w:rFonts w:eastAsia="Calibri"/>
                <w:sz w:val="22"/>
                <w:szCs w:val="22"/>
                <w:lang w:val="en-US"/>
              </w:rPr>
            </w:pPr>
            <w:r w:rsidRPr="000478B4">
              <w:rPr>
                <w:rFonts w:eastAsia="Calibri"/>
                <w:sz w:val="22"/>
                <w:szCs w:val="22"/>
                <w:lang w:val="en-US"/>
              </w:rPr>
              <w:t>89</w:t>
            </w:r>
            <w:r w:rsidR="00E101EF" w:rsidRPr="000478B4">
              <w:rPr>
                <w:rFonts w:eastAsia="Calibri"/>
                <w:sz w:val="22"/>
                <w:szCs w:val="22"/>
                <w:lang w:val="en-US"/>
              </w:rPr>
              <w:t>.</w:t>
            </w:r>
            <w:r w:rsidRPr="000478B4">
              <w:rPr>
                <w:rFonts w:eastAsia="Calibri"/>
                <w:sz w:val="22"/>
                <w:szCs w:val="22"/>
                <w:lang w:val="en-US"/>
              </w:rPr>
              <w:t>37</w:t>
            </w:r>
          </w:p>
        </w:tc>
        <w:tc>
          <w:tcPr>
            <w:tcW w:w="891" w:type="dxa"/>
            <w:shd w:val="clear" w:color="auto" w:fill="auto"/>
            <w:vAlign w:val="center"/>
          </w:tcPr>
          <w:p w:rsidR="00597221" w:rsidRPr="000478B4" w:rsidRDefault="00597221" w:rsidP="000478B4">
            <w:pPr>
              <w:jc w:val="center"/>
              <w:rPr>
                <w:rFonts w:eastAsia="Calibri"/>
                <w:sz w:val="22"/>
                <w:szCs w:val="22"/>
                <w:lang w:val="en-US"/>
              </w:rPr>
            </w:pPr>
            <w:r w:rsidRPr="000478B4">
              <w:rPr>
                <w:rFonts w:eastAsia="Calibri"/>
                <w:sz w:val="22"/>
                <w:szCs w:val="22"/>
                <w:lang w:val="en-US"/>
              </w:rPr>
              <w:t>70</w:t>
            </w:r>
            <w:r w:rsidR="00E101EF" w:rsidRPr="000478B4">
              <w:rPr>
                <w:rFonts w:eastAsia="Calibri"/>
                <w:sz w:val="22"/>
                <w:szCs w:val="22"/>
                <w:lang w:val="en-US"/>
              </w:rPr>
              <w:t>.</w:t>
            </w:r>
            <w:r w:rsidRPr="000478B4">
              <w:rPr>
                <w:rFonts w:eastAsia="Calibri"/>
                <w:sz w:val="22"/>
                <w:szCs w:val="22"/>
                <w:lang w:val="en-US"/>
              </w:rPr>
              <w:t>18</w:t>
            </w:r>
          </w:p>
        </w:tc>
        <w:tc>
          <w:tcPr>
            <w:tcW w:w="891" w:type="dxa"/>
            <w:shd w:val="clear" w:color="auto" w:fill="auto"/>
            <w:noWrap/>
            <w:vAlign w:val="center"/>
          </w:tcPr>
          <w:p w:rsidR="00597221" w:rsidRPr="000478B4" w:rsidRDefault="00597221" w:rsidP="000478B4">
            <w:pPr>
              <w:jc w:val="center"/>
              <w:rPr>
                <w:rFonts w:eastAsia="Calibri"/>
                <w:sz w:val="22"/>
                <w:szCs w:val="22"/>
                <w:lang w:val="en-US"/>
              </w:rPr>
            </w:pPr>
            <w:r w:rsidRPr="000478B4">
              <w:rPr>
                <w:rFonts w:eastAsia="Calibri"/>
                <w:sz w:val="22"/>
                <w:szCs w:val="22"/>
                <w:lang w:val="en-US"/>
              </w:rPr>
              <w:t>60</w:t>
            </w:r>
            <w:r w:rsidR="00E101EF" w:rsidRPr="000478B4">
              <w:rPr>
                <w:rFonts w:eastAsia="Calibri"/>
                <w:sz w:val="22"/>
                <w:szCs w:val="22"/>
                <w:lang w:val="en-US"/>
              </w:rPr>
              <w:t>.</w:t>
            </w:r>
            <w:r w:rsidRPr="000478B4">
              <w:rPr>
                <w:rFonts w:eastAsia="Calibri"/>
                <w:sz w:val="22"/>
                <w:szCs w:val="22"/>
                <w:lang w:val="en-US"/>
              </w:rPr>
              <w:t>20</w:t>
            </w:r>
          </w:p>
        </w:tc>
        <w:tc>
          <w:tcPr>
            <w:tcW w:w="891" w:type="dxa"/>
            <w:shd w:val="clear" w:color="auto" w:fill="auto"/>
            <w:vAlign w:val="center"/>
          </w:tcPr>
          <w:p w:rsidR="00597221" w:rsidRPr="000478B4" w:rsidRDefault="00597221" w:rsidP="000478B4">
            <w:pPr>
              <w:jc w:val="center"/>
              <w:rPr>
                <w:rFonts w:eastAsia="Calibri"/>
                <w:sz w:val="22"/>
                <w:szCs w:val="22"/>
                <w:lang w:val="en-US"/>
              </w:rPr>
            </w:pPr>
            <w:r w:rsidRPr="000478B4">
              <w:rPr>
                <w:rFonts w:eastAsia="Calibri"/>
                <w:sz w:val="22"/>
                <w:szCs w:val="22"/>
                <w:lang w:val="en-US"/>
              </w:rPr>
              <w:t>25</w:t>
            </w:r>
            <w:r w:rsidR="00E101EF" w:rsidRPr="000478B4">
              <w:rPr>
                <w:rFonts w:eastAsia="Calibri"/>
                <w:sz w:val="22"/>
                <w:szCs w:val="22"/>
                <w:lang w:val="en-US"/>
              </w:rPr>
              <w:t>.</w:t>
            </w:r>
            <w:r w:rsidRPr="000478B4">
              <w:rPr>
                <w:rFonts w:eastAsia="Calibri"/>
                <w:sz w:val="22"/>
                <w:szCs w:val="22"/>
                <w:lang w:val="en-US"/>
              </w:rPr>
              <w:t>28</w:t>
            </w:r>
          </w:p>
        </w:tc>
        <w:tc>
          <w:tcPr>
            <w:tcW w:w="891" w:type="dxa"/>
            <w:shd w:val="clear" w:color="auto" w:fill="auto"/>
            <w:vAlign w:val="center"/>
          </w:tcPr>
          <w:p w:rsidR="00597221" w:rsidRPr="000478B4" w:rsidRDefault="00597221" w:rsidP="000478B4">
            <w:pPr>
              <w:ind w:left="-136" w:right="-54"/>
              <w:jc w:val="center"/>
              <w:rPr>
                <w:rFonts w:eastAsia="Calibri"/>
                <w:sz w:val="22"/>
                <w:szCs w:val="22"/>
                <w:lang w:val="en-US"/>
              </w:rPr>
            </w:pPr>
            <w:r w:rsidRPr="000478B4">
              <w:rPr>
                <w:rFonts w:eastAsia="Calibri"/>
                <w:sz w:val="22"/>
                <w:szCs w:val="22"/>
                <w:lang w:val="en-US"/>
              </w:rPr>
              <w:t>23</w:t>
            </w:r>
            <w:r w:rsidR="00E101EF" w:rsidRPr="000478B4">
              <w:rPr>
                <w:rFonts w:eastAsia="Calibri"/>
                <w:sz w:val="22"/>
                <w:szCs w:val="22"/>
                <w:lang w:val="en-US"/>
              </w:rPr>
              <w:t>.</w:t>
            </w:r>
            <w:r w:rsidRPr="000478B4">
              <w:rPr>
                <w:rFonts w:eastAsia="Calibri"/>
                <w:sz w:val="22"/>
                <w:szCs w:val="22"/>
                <w:lang w:val="en-US"/>
              </w:rPr>
              <w:t>14</w:t>
            </w:r>
          </w:p>
        </w:tc>
      </w:tr>
      <w:tr w:rsidR="00597221" w:rsidRPr="000478B4" w:rsidTr="007F254D">
        <w:trPr>
          <w:trHeight w:val="56"/>
        </w:trPr>
        <w:tc>
          <w:tcPr>
            <w:tcW w:w="4307" w:type="dxa"/>
            <w:shd w:val="clear" w:color="auto" w:fill="auto"/>
          </w:tcPr>
          <w:p w:rsidR="00597221" w:rsidRPr="000478B4" w:rsidRDefault="00597221" w:rsidP="000478B4">
            <w:pPr>
              <w:rPr>
                <w:sz w:val="22"/>
                <w:szCs w:val="22"/>
                <w:lang w:val="en-US"/>
              </w:rPr>
            </w:pPr>
            <w:r w:rsidRPr="000478B4">
              <w:rPr>
                <w:sz w:val="22"/>
                <w:szCs w:val="22"/>
                <w:lang w:val="en-US"/>
              </w:rPr>
              <w:t xml:space="preserve">I4 </w:t>
            </w:r>
            <w:r w:rsidR="0092433E" w:rsidRPr="000478B4">
              <w:rPr>
                <w:sz w:val="22"/>
                <w:szCs w:val="22"/>
                <w:lang w:val="en-US"/>
              </w:rPr>
              <w:t>– N</w:t>
            </w:r>
            <w:r w:rsidRPr="000478B4">
              <w:rPr>
                <w:sz w:val="22"/>
                <w:szCs w:val="22"/>
                <w:lang w:val="en-US"/>
              </w:rPr>
              <w:t>on-performing loans to total gross loans ratio</w:t>
            </w:r>
          </w:p>
        </w:tc>
        <w:tc>
          <w:tcPr>
            <w:tcW w:w="891" w:type="dxa"/>
            <w:shd w:val="clear" w:color="auto" w:fill="auto"/>
            <w:noWrap/>
            <w:vAlign w:val="center"/>
          </w:tcPr>
          <w:p w:rsidR="00597221" w:rsidRPr="000478B4" w:rsidRDefault="00597221" w:rsidP="000478B4">
            <w:pPr>
              <w:jc w:val="center"/>
              <w:rPr>
                <w:rFonts w:eastAsia="Calibri"/>
                <w:sz w:val="22"/>
                <w:szCs w:val="22"/>
                <w:lang w:val="en-US"/>
              </w:rPr>
            </w:pPr>
            <w:r w:rsidRPr="000478B4">
              <w:rPr>
                <w:rFonts w:eastAsia="Calibri"/>
                <w:sz w:val="22"/>
                <w:szCs w:val="22"/>
                <w:lang w:val="en-US"/>
              </w:rPr>
              <w:t>30</w:t>
            </w:r>
            <w:r w:rsidR="00E101EF" w:rsidRPr="000478B4">
              <w:rPr>
                <w:rFonts w:eastAsia="Calibri"/>
                <w:sz w:val="22"/>
                <w:szCs w:val="22"/>
                <w:lang w:val="en-US"/>
              </w:rPr>
              <w:t>.</w:t>
            </w:r>
            <w:r w:rsidRPr="000478B4">
              <w:rPr>
                <w:rFonts w:eastAsia="Calibri"/>
                <w:sz w:val="22"/>
                <w:szCs w:val="22"/>
                <w:lang w:val="en-US"/>
              </w:rPr>
              <w:t>47</w:t>
            </w:r>
          </w:p>
        </w:tc>
        <w:tc>
          <w:tcPr>
            <w:tcW w:w="891" w:type="dxa"/>
            <w:shd w:val="clear" w:color="auto" w:fill="auto"/>
            <w:vAlign w:val="center"/>
          </w:tcPr>
          <w:p w:rsidR="00597221" w:rsidRPr="000478B4" w:rsidRDefault="00597221" w:rsidP="000478B4">
            <w:pPr>
              <w:jc w:val="center"/>
              <w:rPr>
                <w:rFonts w:eastAsia="Calibri"/>
                <w:sz w:val="22"/>
                <w:szCs w:val="22"/>
                <w:lang w:val="en-US"/>
              </w:rPr>
            </w:pPr>
            <w:r w:rsidRPr="000478B4">
              <w:rPr>
                <w:rFonts w:eastAsia="Calibri"/>
                <w:sz w:val="22"/>
                <w:szCs w:val="22"/>
                <w:lang w:val="en-US"/>
              </w:rPr>
              <w:t>54</w:t>
            </w:r>
            <w:r w:rsidR="00E101EF" w:rsidRPr="000478B4">
              <w:rPr>
                <w:rFonts w:eastAsia="Calibri"/>
                <w:sz w:val="22"/>
                <w:szCs w:val="22"/>
                <w:lang w:val="en-US"/>
              </w:rPr>
              <w:t>.</w:t>
            </w:r>
            <w:r w:rsidRPr="000478B4">
              <w:rPr>
                <w:rFonts w:eastAsia="Calibri"/>
                <w:sz w:val="22"/>
                <w:szCs w:val="22"/>
                <w:lang w:val="en-US"/>
              </w:rPr>
              <w:t>54</w:t>
            </w:r>
          </w:p>
        </w:tc>
        <w:tc>
          <w:tcPr>
            <w:tcW w:w="891" w:type="dxa"/>
            <w:shd w:val="clear" w:color="auto" w:fill="auto"/>
            <w:noWrap/>
            <w:vAlign w:val="center"/>
          </w:tcPr>
          <w:p w:rsidR="00597221" w:rsidRPr="000478B4" w:rsidRDefault="00597221" w:rsidP="000478B4">
            <w:pPr>
              <w:jc w:val="center"/>
              <w:rPr>
                <w:rFonts w:eastAsia="Calibri"/>
                <w:sz w:val="22"/>
                <w:szCs w:val="22"/>
                <w:lang w:val="en-US"/>
              </w:rPr>
            </w:pPr>
            <w:r w:rsidRPr="000478B4">
              <w:rPr>
                <w:rFonts w:eastAsia="Calibri"/>
                <w:sz w:val="22"/>
                <w:szCs w:val="22"/>
                <w:lang w:val="en-US"/>
              </w:rPr>
              <w:t>52</w:t>
            </w:r>
            <w:r w:rsidR="00E101EF" w:rsidRPr="000478B4">
              <w:rPr>
                <w:rFonts w:eastAsia="Calibri"/>
                <w:sz w:val="22"/>
                <w:szCs w:val="22"/>
                <w:lang w:val="en-US"/>
              </w:rPr>
              <w:t>.</w:t>
            </w:r>
            <w:r w:rsidRPr="000478B4">
              <w:rPr>
                <w:rFonts w:eastAsia="Calibri"/>
                <w:sz w:val="22"/>
                <w:szCs w:val="22"/>
                <w:lang w:val="en-US"/>
              </w:rPr>
              <w:t>85</w:t>
            </w:r>
          </w:p>
        </w:tc>
        <w:tc>
          <w:tcPr>
            <w:tcW w:w="891" w:type="dxa"/>
            <w:shd w:val="clear" w:color="auto" w:fill="auto"/>
            <w:vAlign w:val="center"/>
          </w:tcPr>
          <w:p w:rsidR="00597221" w:rsidRPr="000478B4" w:rsidRDefault="00597221" w:rsidP="000478B4">
            <w:pPr>
              <w:jc w:val="center"/>
              <w:rPr>
                <w:rFonts w:eastAsia="Calibri"/>
                <w:sz w:val="22"/>
                <w:szCs w:val="22"/>
                <w:lang w:val="en-US"/>
              </w:rPr>
            </w:pPr>
            <w:r w:rsidRPr="000478B4">
              <w:rPr>
                <w:rFonts w:eastAsia="Calibri"/>
                <w:sz w:val="22"/>
                <w:szCs w:val="22"/>
                <w:lang w:val="en-US"/>
              </w:rPr>
              <w:t>48</w:t>
            </w:r>
            <w:r w:rsidR="00E101EF" w:rsidRPr="000478B4">
              <w:rPr>
                <w:rFonts w:eastAsia="Calibri"/>
                <w:sz w:val="22"/>
                <w:szCs w:val="22"/>
                <w:lang w:val="en-US"/>
              </w:rPr>
              <w:t>.</w:t>
            </w:r>
            <w:r w:rsidRPr="000478B4">
              <w:rPr>
                <w:rFonts w:eastAsia="Calibri"/>
                <w:sz w:val="22"/>
                <w:szCs w:val="22"/>
                <w:lang w:val="en-US"/>
              </w:rPr>
              <w:t>36</w:t>
            </w:r>
          </w:p>
        </w:tc>
        <w:tc>
          <w:tcPr>
            <w:tcW w:w="891" w:type="dxa"/>
            <w:shd w:val="clear" w:color="auto" w:fill="auto"/>
            <w:vAlign w:val="center"/>
          </w:tcPr>
          <w:p w:rsidR="00597221" w:rsidRPr="000478B4" w:rsidRDefault="00597221" w:rsidP="000478B4">
            <w:pPr>
              <w:ind w:left="-136" w:right="-54"/>
              <w:jc w:val="center"/>
              <w:rPr>
                <w:rFonts w:eastAsia="Calibri"/>
                <w:sz w:val="22"/>
                <w:szCs w:val="22"/>
                <w:lang w:val="en-US"/>
              </w:rPr>
            </w:pPr>
            <w:r w:rsidRPr="000478B4">
              <w:rPr>
                <w:rFonts w:eastAsia="Calibri"/>
                <w:sz w:val="22"/>
                <w:szCs w:val="22"/>
                <w:lang w:val="en-US"/>
              </w:rPr>
              <w:t>45</w:t>
            </w:r>
            <w:r w:rsidR="00E101EF" w:rsidRPr="000478B4">
              <w:rPr>
                <w:rFonts w:eastAsia="Calibri"/>
                <w:sz w:val="22"/>
                <w:szCs w:val="22"/>
                <w:lang w:val="en-US"/>
              </w:rPr>
              <w:t>.</w:t>
            </w:r>
            <w:r w:rsidRPr="000478B4">
              <w:rPr>
                <w:rFonts w:eastAsia="Calibri"/>
                <w:sz w:val="22"/>
                <w:szCs w:val="22"/>
                <w:lang w:val="en-US"/>
              </w:rPr>
              <w:t>62</w:t>
            </w:r>
          </w:p>
        </w:tc>
      </w:tr>
      <w:tr w:rsidR="00597221" w:rsidRPr="000478B4" w:rsidTr="007F254D">
        <w:trPr>
          <w:trHeight w:val="20"/>
        </w:trPr>
        <w:tc>
          <w:tcPr>
            <w:tcW w:w="4307" w:type="dxa"/>
            <w:shd w:val="clear" w:color="auto" w:fill="auto"/>
          </w:tcPr>
          <w:p w:rsidR="00597221" w:rsidRPr="000478B4" w:rsidRDefault="00597221" w:rsidP="000478B4">
            <w:pPr>
              <w:rPr>
                <w:sz w:val="22"/>
                <w:szCs w:val="22"/>
                <w:lang w:val="en-US"/>
              </w:rPr>
            </w:pPr>
            <w:r w:rsidRPr="000478B4">
              <w:rPr>
                <w:sz w:val="22"/>
                <w:szCs w:val="22"/>
                <w:lang w:val="en-US"/>
              </w:rPr>
              <w:t xml:space="preserve">I5 </w:t>
            </w:r>
            <w:r w:rsidR="0092433E" w:rsidRPr="000478B4">
              <w:rPr>
                <w:sz w:val="22"/>
                <w:szCs w:val="22"/>
                <w:lang w:val="en-US"/>
              </w:rPr>
              <w:t>–</w:t>
            </w:r>
            <w:r w:rsidR="00E101EF" w:rsidRPr="000478B4">
              <w:rPr>
                <w:sz w:val="22"/>
                <w:szCs w:val="22"/>
                <w:lang w:val="en-US"/>
              </w:rPr>
              <w:t xml:space="preserve"> L</w:t>
            </w:r>
            <w:r w:rsidRPr="000478B4">
              <w:rPr>
                <w:sz w:val="22"/>
                <w:szCs w:val="22"/>
                <w:lang w:val="en-US"/>
              </w:rPr>
              <w:t xml:space="preserve">oans by sectors of the economy to total gross loans </w:t>
            </w:r>
            <w:r w:rsidR="00E101EF" w:rsidRPr="000478B4">
              <w:rPr>
                <w:sz w:val="22"/>
                <w:szCs w:val="22"/>
                <w:lang w:val="en-US"/>
              </w:rPr>
              <w:t>ratio (residents)</w:t>
            </w:r>
          </w:p>
        </w:tc>
        <w:tc>
          <w:tcPr>
            <w:tcW w:w="891" w:type="dxa"/>
            <w:shd w:val="clear" w:color="auto" w:fill="auto"/>
            <w:noWrap/>
            <w:vAlign w:val="center"/>
          </w:tcPr>
          <w:p w:rsidR="00597221" w:rsidRPr="000478B4" w:rsidRDefault="00597221" w:rsidP="000478B4">
            <w:pPr>
              <w:jc w:val="center"/>
              <w:rPr>
                <w:rFonts w:eastAsia="Calibri"/>
                <w:sz w:val="22"/>
                <w:szCs w:val="22"/>
                <w:lang w:val="en-US"/>
              </w:rPr>
            </w:pPr>
            <w:r w:rsidRPr="000478B4">
              <w:rPr>
                <w:rFonts w:eastAsia="Calibri"/>
                <w:sz w:val="22"/>
                <w:szCs w:val="22"/>
                <w:lang w:val="en-US"/>
              </w:rPr>
              <w:t>95</w:t>
            </w:r>
            <w:r w:rsidR="00E101EF" w:rsidRPr="000478B4">
              <w:rPr>
                <w:rFonts w:eastAsia="Calibri"/>
                <w:sz w:val="22"/>
                <w:szCs w:val="22"/>
                <w:lang w:val="en-US"/>
              </w:rPr>
              <w:t>.</w:t>
            </w:r>
            <w:r w:rsidRPr="000478B4">
              <w:rPr>
                <w:rFonts w:eastAsia="Calibri"/>
                <w:sz w:val="22"/>
                <w:szCs w:val="22"/>
                <w:lang w:val="en-US"/>
              </w:rPr>
              <w:t>92</w:t>
            </w:r>
          </w:p>
        </w:tc>
        <w:tc>
          <w:tcPr>
            <w:tcW w:w="891" w:type="dxa"/>
            <w:shd w:val="clear" w:color="auto" w:fill="auto"/>
            <w:vAlign w:val="center"/>
          </w:tcPr>
          <w:p w:rsidR="00597221" w:rsidRPr="000478B4" w:rsidRDefault="00597221" w:rsidP="000478B4">
            <w:pPr>
              <w:jc w:val="center"/>
              <w:rPr>
                <w:rFonts w:eastAsia="Calibri"/>
                <w:sz w:val="22"/>
                <w:szCs w:val="22"/>
                <w:lang w:val="en-US"/>
              </w:rPr>
            </w:pPr>
            <w:r w:rsidRPr="000478B4">
              <w:rPr>
                <w:rFonts w:eastAsia="Calibri"/>
                <w:sz w:val="22"/>
                <w:szCs w:val="22"/>
                <w:lang w:val="en-US"/>
              </w:rPr>
              <w:t>94</w:t>
            </w:r>
            <w:r w:rsidR="00E101EF" w:rsidRPr="000478B4">
              <w:rPr>
                <w:rFonts w:eastAsia="Calibri"/>
                <w:sz w:val="22"/>
                <w:szCs w:val="22"/>
                <w:lang w:val="en-US"/>
              </w:rPr>
              <w:t>.</w:t>
            </w:r>
            <w:r w:rsidRPr="000478B4">
              <w:rPr>
                <w:rFonts w:eastAsia="Calibri"/>
                <w:sz w:val="22"/>
                <w:szCs w:val="22"/>
                <w:lang w:val="en-US"/>
              </w:rPr>
              <w:t>21</w:t>
            </w:r>
          </w:p>
        </w:tc>
        <w:tc>
          <w:tcPr>
            <w:tcW w:w="891" w:type="dxa"/>
            <w:shd w:val="clear" w:color="auto" w:fill="auto"/>
            <w:noWrap/>
            <w:vAlign w:val="center"/>
          </w:tcPr>
          <w:p w:rsidR="00597221" w:rsidRPr="000478B4" w:rsidRDefault="00597221" w:rsidP="000478B4">
            <w:pPr>
              <w:jc w:val="center"/>
              <w:rPr>
                <w:rFonts w:eastAsia="Calibri"/>
                <w:sz w:val="22"/>
                <w:szCs w:val="22"/>
                <w:lang w:val="en-US"/>
              </w:rPr>
            </w:pPr>
            <w:r w:rsidRPr="000478B4">
              <w:rPr>
                <w:rFonts w:eastAsia="Calibri"/>
                <w:sz w:val="22"/>
                <w:szCs w:val="22"/>
                <w:lang w:val="en-US"/>
              </w:rPr>
              <w:t>93</w:t>
            </w:r>
            <w:r w:rsidR="00E101EF" w:rsidRPr="000478B4">
              <w:rPr>
                <w:rFonts w:eastAsia="Calibri"/>
                <w:sz w:val="22"/>
                <w:szCs w:val="22"/>
                <w:lang w:val="en-US"/>
              </w:rPr>
              <w:t>.</w:t>
            </w:r>
            <w:r w:rsidRPr="000478B4">
              <w:rPr>
                <w:rFonts w:eastAsia="Calibri"/>
                <w:sz w:val="22"/>
                <w:szCs w:val="22"/>
                <w:lang w:val="en-US"/>
              </w:rPr>
              <w:t>47</w:t>
            </w:r>
          </w:p>
        </w:tc>
        <w:tc>
          <w:tcPr>
            <w:tcW w:w="891" w:type="dxa"/>
            <w:shd w:val="clear" w:color="auto" w:fill="auto"/>
            <w:vAlign w:val="center"/>
          </w:tcPr>
          <w:p w:rsidR="00597221" w:rsidRPr="000478B4" w:rsidRDefault="00597221" w:rsidP="000478B4">
            <w:pPr>
              <w:ind w:left="-136" w:right="-54"/>
              <w:jc w:val="center"/>
              <w:rPr>
                <w:rFonts w:eastAsia="Calibri"/>
                <w:sz w:val="22"/>
                <w:szCs w:val="22"/>
                <w:lang w:val="en-US"/>
              </w:rPr>
            </w:pPr>
            <w:r w:rsidRPr="000478B4">
              <w:rPr>
                <w:rFonts w:eastAsia="Calibri"/>
                <w:sz w:val="22"/>
                <w:szCs w:val="22"/>
                <w:lang w:val="en-US"/>
              </w:rPr>
              <w:t>92</w:t>
            </w:r>
            <w:r w:rsidR="00E101EF" w:rsidRPr="000478B4">
              <w:rPr>
                <w:rFonts w:eastAsia="Calibri"/>
                <w:sz w:val="22"/>
                <w:szCs w:val="22"/>
                <w:lang w:val="en-US"/>
              </w:rPr>
              <w:t>.</w:t>
            </w:r>
            <w:r w:rsidRPr="000478B4">
              <w:rPr>
                <w:rFonts w:eastAsia="Calibri"/>
                <w:sz w:val="22"/>
                <w:szCs w:val="22"/>
                <w:lang w:val="en-US"/>
              </w:rPr>
              <w:t>83</w:t>
            </w:r>
          </w:p>
        </w:tc>
        <w:tc>
          <w:tcPr>
            <w:tcW w:w="891" w:type="dxa"/>
            <w:shd w:val="clear" w:color="auto" w:fill="auto"/>
            <w:vAlign w:val="center"/>
          </w:tcPr>
          <w:p w:rsidR="00597221" w:rsidRPr="000478B4" w:rsidRDefault="00597221" w:rsidP="000478B4">
            <w:pPr>
              <w:ind w:left="-136" w:right="-54"/>
              <w:jc w:val="center"/>
              <w:rPr>
                <w:rFonts w:eastAsia="Calibri"/>
                <w:sz w:val="22"/>
                <w:szCs w:val="22"/>
                <w:lang w:val="en-US"/>
              </w:rPr>
            </w:pPr>
            <w:r w:rsidRPr="000478B4">
              <w:rPr>
                <w:rFonts w:eastAsia="Calibri"/>
                <w:sz w:val="22"/>
                <w:szCs w:val="22"/>
                <w:lang w:val="en-US"/>
              </w:rPr>
              <w:t>93</w:t>
            </w:r>
            <w:r w:rsidR="00E101EF" w:rsidRPr="000478B4">
              <w:rPr>
                <w:rFonts w:eastAsia="Calibri"/>
                <w:sz w:val="22"/>
                <w:szCs w:val="22"/>
                <w:lang w:val="en-US"/>
              </w:rPr>
              <w:t>.</w:t>
            </w:r>
            <w:r w:rsidRPr="000478B4">
              <w:rPr>
                <w:rFonts w:eastAsia="Calibri"/>
                <w:sz w:val="22"/>
                <w:szCs w:val="22"/>
                <w:lang w:val="en-US"/>
              </w:rPr>
              <w:t>28</w:t>
            </w:r>
          </w:p>
        </w:tc>
      </w:tr>
      <w:tr w:rsidR="00597221" w:rsidRPr="000478B4" w:rsidTr="007F254D">
        <w:trPr>
          <w:trHeight w:val="20"/>
        </w:trPr>
        <w:tc>
          <w:tcPr>
            <w:tcW w:w="4307" w:type="dxa"/>
            <w:shd w:val="clear" w:color="auto" w:fill="auto"/>
          </w:tcPr>
          <w:p w:rsidR="00597221" w:rsidRPr="000478B4" w:rsidRDefault="00597221" w:rsidP="000478B4">
            <w:pPr>
              <w:rPr>
                <w:sz w:val="22"/>
                <w:szCs w:val="22"/>
                <w:lang w:val="en-US"/>
              </w:rPr>
            </w:pPr>
            <w:r w:rsidRPr="000478B4">
              <w:rPr>
                <w:sz w:val="22"/>
                <w:szCs w:val="22"/>
                <w:lang w:val="en-US"/>
              </w:rPr>
              <w:t xml:space="preserve">I6 </w:t>
            </w:r>
            <w:r w:rsidR="0092433E" w:rsidRPr="000478B4">
              <w:rPr>
                <w:sz w:val="22"/>
                <w:szCs w:val="22"/>
                <w:lang w:val="en-US"/>
              </w:rPr>
              <w:t>–</w:t>
            </w:r>
            <w:r w:rsidRPr="000478B4">
              <w:rPr>
                <w:sz w:val="22"/>
                <w:szCs w:val="22"/>
                <w:lang w:val="en-US"/>
              </w:rPr>
              <w:t xml:space="preserve"> </w:t>
            </w:r>
            <w:r w:rsidR="0092433E" w:rsidRPr="000478B4">
              <w:rPr>
                <w:sz w:val="22"/>
                <w:szCs w:val="22"/>
                <w:lang w:val="en-US"/>
              </w:rPr>
              <w:t>R</w:t>
            </w:r>
            <w:r w:rsidRPr="000478B4">
              <w:rPr>
                <w:sz w:val="22"/>
                <w:szCs w:val="22"/>
                <w:lang w:val="en-US"/>
              </w:rPr>
              <w:t>eturn on assets</w:t>
            </w:r>
            <w:r w:rsidR="0092433E" w:rsidRPr="000478B4">
              <w:rPr>
                <w:sz w:val="22"/>
                <w:szCs w:val="22"/>
                <w:lang w:val="en-US"/>
              </w:rPr>
              <w:t xml:space="preserve"> rate</w:t>
            </w:r>
          </w:p>
        </w:tc>
        <w:tc>
          <w:tcPr>
            <w:tcW w:w="891" w:type="dxa"/>
            <w:shd w:val="clear" w:color="auto" w:fill="auto"/>
            <w:noWrap/>
            <w:vAlign w:val="center"/>
          </w:tcPr>
          <w:p w:rsidR="00597221" w:rsidRPr="000478B4" w:rsidRDefault="00597221" w:rsidP="000478B4">
            <w:pPr>
              <w:jc w:val="center"/>
              <w:rPr>
                <w:rFonts w:eastAsia="Calibri"/>
                <w:sz w:val="22"/>
                <w:szCs w:val="22"/>
                <w:lang w:val="en-US"/>
              </w:rPr>
            </w:pPr>
            <w:r w:rsidRPr="000478B4">
              <w:rPr>
                <w:rFonts w:eastAsia="Calibri"/>
                <w:sz w:val="22"/>
                <w:szCs w:val="22"/>
                <w:lang w:val="en-US"/>
              </w:rPr>
              <w:t>-12</w:t>
            </w:r>
            <w:r w:rsidR="00E101EF" w:rsidRPr="000478B4">
              <w:rPr>
                <w:rFonts w:eastAsia="Calibri"/>
                <w:sz w:val="22"/>
                <w:szCs w:val="22"/>
                <w:lang w:val="en-US"/>
              </w:rPr>
              <w:t>.</w:t>
            </w:r>
            <w:r w:rsidRPr="000478B4">
              <w:rPr>
                <w:rFonts w:eastAsia="Calibri"/>
                <w:sz w:val="22"/>
                <w:szCs w:val="22"/>
                <w:lang w:val="en-US"/>
              </w:rPr>
              <w:t>47</w:t>
            </w:r>
          </w:p>
        </w:tc>
        <w:tc>
          <w:tcPr>
            <w:tcW w:w="891" w:type="dxa"/>
            <w:shd w:val="clear" w:color="auto" w:fill="auto"/>
            <w:vAlign w:val="center"/>
          </w:tcPr>
          <w:p w:rsidR="00597221" w:rsidRPr="000478B4" w:rsidRDefault="00597221" w:rsidP="000478B4">
            <w:pPr>
              <w:jc w:val="center"/>
              <w:rPr>
                <w:rFonts w:eastAsia="Calibri"/>
                <w:sz w:val="22"/>
                <w:szCs w:val="22"/>
                <w:lang w:val="en-US"/>
              </w:rPr>
            </w:pPr>
            <w:r w:rsidRPr="000478B4">
              <w:rPr>
                <w:rFonts w:eastAsia="Calibri"/>
                <w:sz w:val="22"/>
                <w:szCs w:val="22"/>
                <w:lang w:val="en-US"/>
              </w:rPr>
              <w:t>-1</w:t>
            </w:r>
            <w:r w:rsidR="00E101EF" w:rsidRPr="000478B4">
              <w:rPr>
                <w:rFonts w:eastAsia="Calibri"/>
                <w:sz w:val="22"/>
                <w:szCs w:val="22"/>
                <w:lang w:val="en-US"/>
              </w:rPr>
              <w:t>.</w:t>
            </w:r>
            <w:r w:rsidRPr="000478B4">
              <w:rPr>
                <w:rFonts w:eastAsia="Calibri"/>
                <w:sz w:val="22"/>
                <w:szCs w:val="22"/>
                <w:lang w:val="en-US"/>
              </w:rPr>
              <w:t>76</w:t>
            </w:r>
          </w:p>
        </w:tc>
        <w:tc>
          <w:tcPr>
            <w:tcW w:w="891" w:type="dxa"/>
            <w:shd w:val="clear" w:color="auto" w:fill="auto"/>
            <w:noWrap/>
            <w:vAlign w:val="center"/>
          </w:tcPr>
          <w:p w:rsidR="00597221" w:rsidRPr="000478B4" w:rsidRDefault="00597221" w:rsidP="000478B4">
            <w:pPr>
              <w:jc w:val="center"/>
              <w:rPr>
                <w:rFonts w:eastAsia="Calibri"/>
                <w:sz w:val="22"/>
                <w:szCs w:val="22"/>
                <w:lang w:val="en-US"/>
              </w:rPr>
            </w:pPr>
            <w:r w:rsidRPr="000478B4">
              <w:rPr>
                <w:rFonts w:eastAsia="Calibri"/>
                <w:sz w:val="22"/>
                <w:szCs w:val="22"/>
                <w:lang w:val="en-US"/>
              </w:rPr>
              <w:t>1</w:t>
            </w:r>
            <w:r w:rsidR="00E101EF" w:rsidRPr="000478B4">
              <w:rPr>
                <w:rFonts w:eastAsia="Calibri"/>
                <w:sz w:val="22"/>
                <w:szCs w:val="22"/>
                <w:lang w:val="en-US"/>
              </w:rPr>
              <w:t>.</w:t>
            </w:r>
            <w:r w:rsidRPr="000478B4">
              <w:rPr>
                <w:rFonts w:eastAsia="Calibri"/>
                <w:sz w:val="22"/>
                <w:szCs w:val="22"/>
                <w:lang w:val="en-US"/>
              </w:rPr>
              <w:t>60</w:t>
            </w:r>
          </w:p>
        </w:tc>
        <w:tc>
          <w:tcPr>
            <w:tcW w:w="891" w:type="dxa"/>
            <w:shd w:val="clear" w:color="auto" w:fill="auto"/>
            <w:vAlign w:val="center"/>
          </w:tcPr>
          <w:p w:rsidR="00597221" w:rsidRPr="000478B4" w:rsidRDefault="00597221" w:rsidP="000478B4">
            <w:pPr>
              <w:jc w:val="center"/>
              <w:rPr>
                <w:rFonts w:eastAsia="Calibri"/>
                <w:sz w:val="22"/>
                <w:szCs w:val="22"/>
                <w:lang w:val="en-US"/>
              </w:rPr>
            </w:pPr>
            <w:r w:rsidRPr="000478B4">
              <w:rPr>
                <w:rFonts w:eastAsia="Calibri"/>
                <w:sz w:val="22"/>
                <w:szCs w:val="22"/>
                <w:lang w:val="en-US"/>
              </w:rPr>
              <w:t>4</w:t>
            </w:r>
            <w:r w:rsidR="00E101EF" w:rsidRPr="000478B4">
              <w:rPr>
                <w:rFonts w:eastAsia="Calibri"/>
                <w:sz w:val="22"/>
                <w:szCs w:val="22"/>
                <w:lang w:val="en-US"/>
              </w:rPr>
              <w:t>.</w:t>
            </w:r>
            <w:r w:rsidRPr="000478B4">
              <w:rPr>
                <w:rFonts w:eastAsia="Calibri"/>
                <w:sz w:val="22"/>
                <w:szCs w:val="22"/>
                <w:lang w:val="en-US"/>
              </w:rPr>
              <w:t>70</w:t>
            </w:r>
          </w:p>
        </w:tc>
        <w:tc>
          <w:tcPr>
            <w:tcW w:w="891" w:type="dxa"/>
            <w:shd w:val="clear" w:color="auto" w:fill="auto"/>
            <w:vAlign w:val="center"/>
          </w:tcPr>
          <w:p w:rsidR="00597221" w:rsidRPr="000478B4" w:rsidRDefault="00597221" w:rsidP="000478B4">
            <w:pPr>
              <w:ind w:left="-136" w:right="-54"/>
              <w:jc w:val="center"/>
              <w:rPr>
                <w:rFonts w:eastAsia="Calibri"/>
                <w:sz w:val="22"/>
                <w:szCs w:val="22"/>
                <w:lang w:val="en-US"/>
              </w:rPr>
            </w:pPr>
            <w:r w:rsidRPr="000478B4">
              <w:rPr>
                <w:rFonts w:eastAsia="Calibri"/>
                <w:sz w:val="22"/>
                <w:szCs w:val="22"/>
                <w:lang w:val="en-US"/>
              </w:rPr>
              <w:t>3</w:t>
            </w:r>
            <w:r w:rsidR="00E101EF" w:rsidRPr="000478B4">
              <w:rPr>
                <w:rFonts w:eastAsia="Calibri"/>
                <w:sz w:val="22"/>
                <w:szCs w:val="22"/>
                <w:lang w:val="en-US"/>
              </w:rPr>
              <w:t>.</w:t>
            </w:r>
            <w:r w:rsidRPr="000478B4">
              <w:rPr>
                <w:rFonts w:eastAsia="Calibri"/>
                <w:sz w:val="22"/>
                <w:szCs w:val="22"/>
                <w:lang w:val="en-US"/>
              </w:rPr>
              <w:t>42</w:t>
            </w:r>
          </w:p>
        </w:tc>
      </w:tr>
      <w:tr w:rsidR="00597221" w:rsidRPr="000478B4" w:rsidTr="007F254D">
        <w:trPr>
          <w:trHeight w:val="20"/>
        </w:trPr>
        <w:tc>
          <w:tcPr>
            <w:tcW w:w="4307" w:type="dxa"/>
            <w:shd w:val="clear" w:color="auto" w:fill="auto"/>
          </w:tcPr>
          <w:p w:rsidR="00597221" w:rsidRPr="000478B4" w:rsidRDefault="00597221" w:rsidP="000478B4">
            <w:pPr>
              <w:rPr>
                <w:sz w:val="22"/>
                <w:szCs w:val="22"/>
                <w:lang w:val="en-US"/>
              </w:rPr>
            </w:pPr>
            <w:r w:rsidRPr="000478B4">
              <w:rPr>
                <w:sz w:val="22"/>
                <w:szCs w:val="22"/>
                <w:lang w:val="en-US"/>
              </w:rPr>
              <w:t xml:space="preserve">I7 </w:t>
            </w:r>
            <w:r w:rsidR="0092433E" w:rsidRPr="000478B4">
              <w:rPr>
                <w:sz w:val="22"/>
                <w:szCs w:val="22"/>
                <w:lang w:val="en-US"/>
              </w:rPr>
              <w:t>–</w:t>
            </w:r>
            <w:r w:rsidRPr="000478B4">
              <w:rPr>
                <w:sz w:val="22"/>
                <w:szCs w:val="22"/>
                <w:lang w:val="en-US"/>
              </w:rPr>
              <w:t xml:space="preserve"> </w:t>
            </w:r>
            <w:r w:rsidR="0092433E" w:rsidRPr="000478B4">
              <w:rPr>
                <w:sz w:val="22"/>
                <w:szCs w:val="22"/>
                <w:lang w:val="en-US"/>
              </w:rPr>
              <w:t>R</w:t>
            </w:r>
            <w:r w:rsidRPr="000478B4">
              <w:rPr>
                <w:sz w:val="22"/>
                <w:szCs w:val="22"/>
                <w:lang w:val="en-US"/>
              </w:rPr>
              <w:t>eturn on capital</w:t>
            </w:r>
            <w:r w:rsidR="0092433E" w:rsidRPr="000478B4">
              <w:rPr>
                <w:sz w:val="22"/>
                <w:szCs w:val="22"/>
                <w:lang w:val="en-US"/>
              </w:rPr>
              <w:t xml:space="preserve"> rate</w:t>
            </w:r>
          </w:p>
        </w:tc>
        <w:tc>
          <w:tcPr>
            <w:tcW w:w="891" w:type="dxa"/>
            <w:shd w:val="clear" w:color="auto" w:fill="auto"/>
            <w:noWrap/>
            <w:vAlign w:val="center"/>
          </w:tcPr>
          <w:p w:rsidR="00597221" w:rsidRPr="000478B4" w:rsidRDefault="00597221" w:rsidP="000478B4">
            <w:pPr>
              <w:jc w:val="center"/>
              <w:rPr>
                <w:rFonts w:eastAsia="Calibri"/>
                <w:sz w:val="22"/>
                <w:szCs w:val="22"/>
                <w:lang w:val="en-US"/>
              </w:rPr>
            </w:pPr>
            <w:r w:rsidRPr="000478B4">
              <w:rPr>
                <w:rFonts w:eastAsia="Calibri"/>
                <w:sz w:val="22"/>
                <w:szCs w:val="22"/>
                <w:lang w:val="en-US"/>
              </w:rPr>
              <w:t>-122</w:t>
            </w:r>
            <w:r w:rsidR="00E101EF" w:rsidRPr="000478B4">
              <w:rPr>
                <w:rFonts w:eastAsia="Calibri"/>
                <w:sz w:val="22"/>
                <w:szCs w:val="22"/>
                <w:lang w:val="en-US"/>
              </w:rPr>
              <w:t>.</w:t>
            </w:r>
            <w:r w:rsidRPr="000478B4">
              <w:rPr>
                <w:rFonts w:eastAsia="Calibri"/>
                <w:sz w:val="22"/>
                <w:szCs w:val="22"/>
                <w:lang w:val="en-US"/>
              </w:rPr>
              <w:t>2</w:t>
            </w:r>
          </w:p>
        </w:tc>
        <w:tc>
          <w:tcPr>
            <w:tcW w:w="891" w:type="dxa"/>
            <w:shd w:val="clear" w:color="auto" w:fill="auto"/>
            <w:vAlign w:val="center"/>
          </w:tcPr>
          <w:p w:rsidR="00597221" w:rsidRPr="000478B4" w:rsidRDefault="00597221" w:rsidP="000478B4">
            <w:pPr>
              <w:jc w:val="center"/>
              <w:rPr>
                <w:rFonts w:eastAsia="Calibri"/>
                <w:sz w:val="22"/>
                <w:szCs w:val="22"/>
                <w:lang w:val="en-US"/>
              </w:rPr>
            </w:pPr>
            <w:r w:rsidRPr="000478B4">
              <w:rPr>
                <w:rFonts w:eastAsia="Calibri"/>
                <w:sz w:val="22"/>
                <w:szCs w:val="22"/>
                <w:lang w:val="en-US"/>
              </w:rPr>
              <w:t>-15</w:t>
            </w:r>
            <w:r w:rsidR="00E101EF" w:rsidRPr="000478B4">
              <w:rPr>
                <w:rFonts w:eastAsia="Calibri"/>
                <w:sz w:val="22"/>
                <w:szCs w:val="22"/>
                <w:lang w:val="en-US"/>
              </w:rPr>
              <w:t>.</w:t>
            </w:r>
            <w:r w:rsidRPr="000478B4">
              <w:rPr>
                <w:rFonts w:eastAsia="Calibri"/>
                <w:sz w:val="22"/>
                <w:szCs w:val="22"/>
                <w:lang w:val="en-US"/>
              </w:rPr>
              <w:t>34</w:t>
            </w:r>
          </w:p>
        </w:tc>
        <w:tc>
          <w:tcPr>
            <w:tcW w:w="891" w:type="dxa"/>
            <w:shd w:val="clear" w:color="auto" w:fill="auto"/>
            <w:noWrap/>
            <w:vAlign w:val="center"/>
          </w:tcPr>
          <w:p w:rsidR="00597221" w:rsidRPr="000478B4" w:rsidRDefault="00597221" w:rsidP="000478B4">
            <w:pPr>
              <w:jc w:val="center"/>
              <w:rPr>
                <w:rFonts w:eastAsia="Calibri"/>
                <w:sz w:val="22"/>
                <w:szCs w:val="22"/>
                <w:lang w:val="en-US"/>
              </w:rPr>
            </w:pPr>
            <w:r w:rsidRPr="000478B4">
              <w:rPr>
                <w:rFonts w:eastAsia="Calibri"/>
                <w:sz w:val="22"/>
                <w:szCs w:val="22"/>
                <w:lang w:val="en-US"/>
              </w:rPr>
              <w:t>14</w:t>
            </w:r>
            <w:r w:rsidR="00E101EF" w:rsidRPr="000478B4">
              <w:rPr>
                <w:rFonts w:eastAsia="Calibri"/>
                <w:sz w:val="22"/>
                <w:szCs w:val="22"/>
                <w:lang w:val="en-US"/>
              </w:rPr>
              <w:t>.</w:t>
            </w:r>
            <w:r w:rsidRPr="000478B4">
              <w:rPr>
                <w:rFonts w:eastAsia="Calibri"/>
                <w:sz w:val="22"/>
                <w:szCs w:val="22"/>
                <w:lang w:val="en-US"/>
              </w:rPr>
              <w:t>61</w:t>
            </w:r>
          </w:p>
        </w:tc>
        <w:tc>
          <w:tcPr>
            <w:tcW w:w="891" w:type="dxa"/>
            <w:shd w:val="clear" w:color="auto" w:fill="auto"/>
            <w:vAlign w:val="center"/>
          </w:tcPr>
          <w:p w:rsidR="00597221" w:rsidRPr="000478B4" w:rsidRDefault="00597221" w:rsidP="000478B4">
            <w:pPr>
              <w:jc w:val="center"/>
              <w:rPr>
                <w:rFonts w:eastAsia="Calibri"/>
                <w:sz w:val="22"/>
                <w:szCs w:val="22"/>
                <w:lang w:val="en-US"/>
              </w:rPr>
            </w:pPr>
            <w:r w:rsidRPr="000478B4">
              <w:rPr>
                <w:rFonts w:eastAsia="Calibri"/>
                <w:sz w:val="22"/>
                <w:szCs w:val="22"/>
                <w:lang w:val="en-US"/>
              </w:rPr>
              <w:t>37</w:t>
            </w:r>
            <w:r w:rsidR="00E101EF" w:rsidRPr="000478B4">
              <w:rPr>
                <w:rFonts w:eastAsia="Calibri"/>
                <w:sz w:val="22"/>
                <w:szCs w:val="22"/>
                <w:lang w:val="en-US"/>
              </w:rPr>
              <w:t>.</w:t>
            </w:r>
            <w:r w:rsidRPr="000478B4">
              <w:rPr>
                <w:rFonts w:eastAsia="Calibri"/>
                <w:sz w:val="22"/>
                <w:szCs w:val="22"/>
                <w:lang w:val="en-US"/>
              </w:rPr>
              <w:t>55</w:t>
            </w:r>
          </w:p>
        </w:tc>
        <w:tc>
          <w:tcPr>
            <w:tcW w:w="891" w:type="dxa"/>
            <w:shd w:val="clear" w:color="auto" w:fill="auto"/>
            <w:vAlign w:val="center"/>
          </w:tcPr>
          <w:p w:rsidR="00597221" w:rsidRPr="000478B4" w:rsidRDefault="00597221" w:rsidP="000478B4">
            <w:pPr>
              <w:ind w:left="-136" w:right="-54"/>
              <w:jc w:val="center"/>
              <w:rPr>
                <w:rFonts w:eastAsia="Calibri"/>
                <w:sz w:val="22"/>
                <w:szCs w:val="22"/>
                <w:lang w:val="en-US"/>
              </w:rPr>
            </w:pPr>
            <w:r w:rsidRPr="000478B4">
              <w:rPr>
                <w:rFonts w:eastAsia="Calibri"/>
                <w:sz w:val="22"/>
                <w:szCs w:val="22"/>
                <w:lang w:val="en-US"/>
              </w:rPr>
              <w:t>26</w:t>
            </w:r>
            <w:r w:rsidR="00E101EF" w:rsidRPr="000478B4">
              <w:rPr>
                <w:rFonts w:eastAsia="Calibri"/>
                <w:sz w:val="22"/>
                <w:szCs w:val="22"/>
                <w:lang w:val="en-US"/>
              </w:rPr>
              <w:t>.</w:t>
            </w:r>
            <w:r w:rsidRPr="000478B4">
              <w:rPr>
                <w:rFonts w:eastAsia="Calibri"/>
                <w:sz w:val="22"/>
                <w:szCs w:val="22"/>
                <w:lang w:val="en-US"/>
              </w:rPr>
              <w:t>24</w:t>
            </w:r>
          </w:p>
        </w:tc>
      </w:tr>
      <w:tr w:rsidR="00597221" w:rsidRPr="000478B4" w:rsidTr="007F254D">
        <w:trPr>
          <w:trHeight w:val="20"/>
        </w:trPr>
        <w:tc>
          <w:tcPr>
            <w:tcW w:w="4307" w:type="dxa"/>
            <w:shd w:val="clear" w:color="auto" w:fill="auto"/>
          </w:tcPr>
          <w:p w:rsidR="00597221" w:rsidRPr="000478B4" w:rsidRDefault="00597221" w:rsidP="000478B4">
            <w:pPr>
              <w:rPr>
                <w:sz w:val="22"/>
                <w:szCs w:val="22"/>
                <w:lang w:val="en-US"/>
              </w:rPr>
            </w:pPr>
            <w:r w:rsidRPr="000478B4">
              <w:rPr>
                <w:sz w:val="22"/>
                <w:szCs w:val="22"/>
                <w:lang w:val="en-US"/>
              </w:rPr>
              <w:t xml:space="preserve">I8 </w:t>
            </w:r>
            <w:r w:rsidR="0092433E" w:rsidRPr="000478B4">
              <w:rPr>
                <w:sz w:val="22"/>
                <w:szCs w:val="22"/>
                <w:lang w:val="en-US"/>
              </w:rPr>
              <w:t>– I</w:t>
            </w:r>
            <w:r w:rsidRPr="000478B4">
              <w:rPr>
                <w:sz w:val="22"/>
                <w:szCs w:val="22"/>
                <w:lang w:val="en-US"/>
              </w:rPr>
              <w:t>nterest margin to gross income ratio</w:t>
            </w:r>
          </w:p>
        </w:tc>
        <w:tc>
          <w:tcPr>
            <w:tcW w:w="891" w:type="dxa"/>
            <w:shd w:val="clear" w:color="auto" w:fill="auto"/>
            <w:noWrap/>
            <w:vAlign w:val="center"/>
          </w:tcPr>
          <w:p w:rsidR="00597221" w:rsidRPr="000478B4" w:rsidRDefault="00597221" w:rsidP="000478B4">
            <w:pPr>
              <w:jc w:val="center"/>
              <w:rPr>
                <w:rFonts w:eastAsia="Calibri"/>
                <w:sz w:val="22"/>
                <w:szCs w:val="22"/>
                <w:lang w:val="en-US"/>
              </w:rPr>
            </w:pPr>
            <w:r w:rsidRPr="000478B4">
              <w:rPr>
                <w:rFonts w:eastAsia="Calibri"/>
                <w:sz w:val="22"/>
                <w:szCs w:val="22"/>
                <w:lang w:val="en-US"/>
              </w:rPr>
              <w:t>45</w:t>
            </w:r>
            <w:r w:rsidR="00E101EF" w:rsidRPr="000478B4">
              <w:rPr>
                <w:rFonts w:eastAsia="Calibri"/>
                <w:sz w:val="22"/>
                <w:szCs w:val="22"/>
                <w:lang w:val="en-US"/>
              </w:rPr>
              <w:t>.</w:t>
            </w:r>
            <w:r w:rsidRPr="000478B4">
              <w:rPr>
                <w:rFonts w:eastAsia="Calibri"/>
                <w:sz w:val="22"/>
                <w:szCs w:val="22"/>
                <w:lang w:val="en-US"/>
              </w:rPr>
              <w:t>94</w:t>
            </w:r>
          </w:p>
        </w:tc>
        <w:tc>
          <w:tcPr>
            <w:tcW w:w="891" w:type="dxa"/>
            <w:shd w:val="clear" w:color="auto" w:fill="auto"/>
            <w:vAlign w:val="center"/>
          </w:tcPr>
          <w:p w:rsidR="00597221" w:rsidRPr="000478B4" w:rsidRDefault="00597221" w:rsidP="000478B4">
            <w:pPr>
              <w:jc w:val="center"/>
              <w:rPr>
                <w:rFonts w:eastAsia="Calibri"/>
                <w:sz w:val="22"/>
                <w:szCs w:val="22"/>
                <w:lang w:val="en-US"/>
              </w:rPr>
            </w:pPr>
            <w:r w:rsidRPr="000478B4">
              <w:rPr>
                <w:rFonts w:eastAsia="Calibri"/>
                <w:sz w:val="22"/>
                <w:szCs w:val="22"/>
                <w:lang w:val="en-US"/>
              </w:rPr>
              <w:t>50</w:t>
            </w:r>
            <w:r w:rsidR="00E101EF" w:rsidRPr="000478B4">
              <w:rPr>
                <w:rFonts w:eastAsia="Calibri"/>
                <w:sz w:val="22"/>
                <w:szCs w:val="22"/>
                <w:lang w:val="en-US"/>
              </w:rPr>
              <w:t>.</w:t>
            </w:r>
            <w:r w:rsidRPr="000478B4">
              <w:rPr>
                <w:rFonts w:eastAsia="Calibri"/>
                <w:sz w:val="22"/>
                <w:szCs w:val="22"/>
                <w:lang w:val="en-US"/>
              </w:rPr>
              <w:t>20</w:t>
            </w:r>
          </w:p>
        </w:tc>
        <w:tc>
          <w:tcPr>
            <w:tcW w:w="891" w:type="dxa"/>
            <w:shd w:val="clear" w:color="auto" w:fill="auto"/>
            <w:noWrap/>
            <w:vAlign w:val="center"/>
          </w:tcPr>
          <w:p w:rsidR="00597221" w:rsidRPr="000478B4" w:rsidRDefault="00597221" w:rsidP="000478B4">
            <w:pPr>
              <w:jc w:val="center"/>
              <w:rPr>
                <w:rFonts w:eastAsia="Calibri"/>
                <w:sz w:val="22"/>
                <w:szCs w:val="22"/>
                <w:lang w:val="en-US"/>
              </w:rPr>
            </w:pPr>
            <w:r w:rsidRPr="000478B4">
              <w:rPr>
                <w:rFonts w:eastAsia="Calibri"/>
                <w:sz w:val="22"/>
                <w:szCs w:val="22"/>
                <w:lang w:val="en-US"/>
              </w:rPr>
              <w:t>52</w:t>
            </w:r>
            <w:r w:rsidR="00E101EF" w:rsidRPr="000478B4">
              <w:rPr>
                <w:rFonts w:eastAsia="Calibri"/>
                <w:sz w:val="22"/>
                <w:szCs w:val="22"/>
                <w:lang w:val="en-US"/>
              </w:rPr>
              <w:t>.</w:t>
            </w:r>
            <w:r w:rsidRPr="000478B4">
              <w:rPr>
                <w:rFonts w:eastAsia="Calibri"/>
                <w:sz w:val="22"/>
                <w:szCs w:val="22"/>
                <w:lang w:val="en-US"/>
              </w:rPr>
              <w:t>02</w:t>
            </w:r>
          </w:p>
        </w:tc>
        <w:tc>
          <w:tcPr>
            <w:tcW w:w="891" w:type="dxa"/>
            <w:shd w:val="clear" w:color="auto" w:fill="auto"/>
            <w:vAlign w:val="center"/>
          </w:tcPr>
          <w:p w:rsidR="00597221" w:rsidRPr="000478B4" w:rsidRDefault="00597221" w:rsidP="000478B4">
            <w:pPr>
              <w:jc w:val="center"/>
              <w:rPr>
                <w:rFonts w:eastAsia="Calibri"/>
                <w:sz w:val="22"/>
                <w:szCs w:val="22"/>
                <w:lang w:val="en-US"/>
              </w:rPr>
            </w:pPr>
            <w:r w:rsidRPr="000478B4">
              <w:rPr>
                <w:rFonts w:eastAsia="Calibri"/>
                <w:sz w:val="22"/>
                <w:szCs w:val="22"/>
                <w:lang w:val="en-US"/>
              </w:rPr>
              <w:t>47</w:t>
            </w:r>
            <w:r w:rsidR="00E101EF" w:rsidRPr="000478B4">
              <w:rPr>
                <w:rFonts w:eastAsia="Calibri"/>
                <w:sz w:val="22"/>
                <w:szCs w:val="22"/>
                <w:lang w:val="en-US"/>
              </w:rPr>
              <w:t>.</w:t>
            </w:r>
            <w:r w:rsidRPr="000478B4">
              <w:rPr>
                <w:rFonts w:eastAsia="Calibri"/>
                <w:sz w:val="22"/>
                <w:szCs w:val="22"/>
                <w:lang w:val="en-US"/>
              </w:rPr>
              <w:t>39</w:t>
            </w:r>
          </w:p>
        </w:tc>
        <w:tc>
          <w:tcPr>
            <w:tcW w:w="891" w:type="dxa"/>
            <w:shd w:val="clear" w:color="auto" w:fill="auto"/>
            <w:vAlign w:val="center"/>
          </w:tcPr>
          <w:p w:rsidR="00597221" w:rsidRPr="000478B4" w:rsidRDefault="00597221" w:rsidP="000478B4">
            <w:pPr>
              <w:ind w:left="-136" w:right="-54"/>
              <w:jc w:val="center"/>
              <w:rPr>
                <w:rFonts w:eastAsia="Calibri"/>
                <w:sz w:val="22"/>
                <w:szCs w:val="22"/>
                <w:lang w:val="en-US"/>
              </w:rPr>
            </w:pPr>
            <w:r w:rsidRPr="000478B4">
              <w:rPr>
                <w:rFonts w:eastAsia="Calibri"/>
                <w:sz w:val="22"/>
                <w:szCs w:val="22"/>
                <w:lang w:val="en-US"/>
              </w:rPr>
              <w:t>44</w:t>
            </w:r>
            <w:r w:rsidR="00E101EF" w:rsidRPr="000478B4">
              <w:rPr>
                <w:rFonts w:eastAsia="Calibri"/>
                <w:sz w:val="22"/>
                <w:szCs w:val="22"/>
                <w:lang w:val="en-US"/>
              </w:rPr>
              <w:t>.</w:t>
            </w:r>
            <w:r w:rsidRPr="000478B4">
              <w:rPr>
                <w:rFonts w:eastAsia="Calibri"/>
                <w:sz w:val="22"/>
                <w:szCs w:val="22"/>
                <w:lang w:val="en-US"/>
              </w:rPr>
              <w:t>27</w:t>
            </w:r>
          </w:p>
        </w:tc>
      </w:tr>
      <w:tr w:rsidR="00597221" w:rsidRPr="000478B4" w:rsidTr="007F254D">
        <w:trPr>
          <w:trHeight w:val="20"/>
        </w:trPr>
        <w:tc>
          <w:tcPr>
            <w:tcW w:w="4307" w:type="dxa"/>
            <w:shd w:val="clear" w:color="auto" w:fill="auto"/>
          </w:tcPr>
          <w:p w:rsidR="00597221" w:rsidRPr="000478B4" w:rsidRDefault="00597221" w:rsidP="000478B4">
            <w:pPr>
              <w:rPr>
                <w:sz w:val="22"/>
                <w:szCs w:val="22"/>
                <w:lang w:val="en-US"/>
              </w:rPr>
            </w:pPr>
            <w:r w:rsidRPr="000478B4">
              <w:rPr>
                <w:sz w:val="22"/>
                <w:szCs w:val="22"/>
                <w:lang w:val="en-US"/>
              </w:rPr>
              <w:t xml:space="preserve">I9 </w:t>
            </w:r>
            <w:r w:rsidR="0092433E" w:rsidRPr="000478B4">
              <w:rPr>
                <w:sz w:val="22"/>
                <w:szCs w:val="22"/>
                <w:lang w:val="en-US"/>
              </w:rPr>
              <w:t>– N</w:t>
            </w:r>
            <w:r w:rsidRPr="000478B4">
              <w:rPr>
                <w:sz w:val="22"/>
                <w:szCs w:val="22"/>
                <w:lang w:val="en-US"/>
              </w:rPr>
              <w:t>on-interest expenses to gross income ratio</w:t>
            </w:r>
          </w:p>
        </w:tc>
        <w:tc>
          <w:tcPr>
            <w:tcW w:w="891" w:type="dxa"/>
            <w:shd w:val="clear" w:color="auto" w:fill="auto"/>
            <w:noWrap/>
            <w:vAlign w:val="center"/>
          </w:tcPr>
          <w:p w:rsidR="00597221" w:rsidRPr="000478B4" w:rsidRDefault="00597221" w:rsidP="000478B4">
            <w:pPr>
              <w:jc w:val="center"/>
              <w:rPr>
                <w:rFonts w:eastAsia="Calibri"/>
                <w:sz w:val="22"/>
                <w:szCs w:val="22"/>
                <w:lang w:val="en-US"/>
              </w:rPr>
            </w:pPr>
            <w:r w:rsidRPr="000478B4">
              <w:rPr>
                <w:rFonts w:eastAsia="Calibri"/>
                <w:sz w:val="22"/>
                <w:szCs w:val="22"/>
                <w:lang w:val="en-US"/>
              </w:rPr>
              <w:t>60</w:t>
            </w:r>
            <w:r w:rsidR="00E101EF" w:rsidRPr="000478B4">
              <w:rPr>
                <w:rFonts w:eastAsia="Calibri"/>
                <w:sz w:val="22"/>
                <w:szCs w:val="22"/>
                <w:lang w:val="en-US"/>
              </w:rPr>
              <w:t>.</w:t>
            </w:r>
            <w:r w:rsidRPr="000478B4">
              <w:rPr>
                <w:rFonts w:eastAsia="Calibri"/>
                <w:sz w:val="22"/>
                <w:szCs w:val="22"/>
                <w:lang w:val="en-US"/>
              </w:rPr>
              <w:t>91</w:t>
            </w:r>
          </w:p>
        </w:tc>
        <w:tc>
          <w:tcPr>
            <w:tcW w:w="891" w:type="dxa"/>
            <w:shd w:val="clear" w:color="auto" w:fill="auto"/>
            <w:vAlign w:val="center"/>
          </w:tcPr>
          <w:p w:rsidR="00597221" w:rsidRPr="000478B4" w:rsidRDefault="00597221" w:rsidP="000478B4">
            <w:pPr>
              <w:jc w:val="center"/>
              <w:rPr>
                <w:rFonts w:eastAsia="Calibri"/>
                <w:sz w:val="22"/>
                <w:szCs w:val="22"/>
                <w:lang w:val="en-US"/>
              </w:rPr>
            </w:pPr>
            <w:r w:rsidRPr="000478B4">
              <w:rPr>
                <w:rFonts w:eastAsia="Calibri"/>
                <w:sz w:val="22"/>
                <w:szCs w:val="22"/>
                <w:lang w:val="en-US"/>
              </w:rPr>
              <w:t>76</w:t>
            </w:r>
            <w:r w:rsidR="00E101EF" w:rsidRPr="000478B4">
              <w:rPr>
                <w:rFonts w:eastAsia="Calibri"/>
                <w:sz w:val="22"/>
                <w:szCs w:val="22"/>
                <w:lang w:val="en-US"/>
              </w:rPr>
              <w:t>.</w:t>
            </w:r>
            <w:r w:rsidRPr="000478B4">
              <w:rPr>
                <w:rFonts w:eastAsia="Calibri"/>
                <w:sz w:val="22"/>
                <w:szCs w:val="22"/>
                <w:lang w:val="en-US"/>
              </w:rPr>
              <w:t>14</w:t>
            </w:r>
          </w:p>
        </w:tc>
        <w:tc>
          <w:tcPr>
            <w:tcW w:w="891" w:type="dxa"/>
            <w:shd w:val="clear" w:color="auto" w:fill="auto"/>
            <w:noWrap/>
            <w:vAlign w:val="center"/>
          </w:tcPr>
          <w:p w:rsidR="00597221" w:rsidRPr="000478B4" w:rsidRDefault="00597221" w:rsidP="000478B4">
            <w:pPr>
              <w:jc w:val="center"/>
              <w:rPr>
                <w:rFonts w:eastAsia="Calibri"/>
                <w:sz w:val="22"/>
                <w:szCs w:val="22"/>
                <w:lang w:val="en-US"/>
              </w:rPr>
            </w:pPr>
            <w:r w:rsidRPr="000478B4">
              <w:rPr>
                <w:rFonts w:eastAsia="Calibri"/>
                <w:sz w:val="22"/>
                <w:szCs w:val="22"/>
                <w:lang w:val="en-US"/>
              </w:rPr>
              <w:t>61</w:t>
            </w:r>
            <w:r w:rsidR="00E101EF" w:rsidRPr="000478B4">
              <w:rPr>
                <w:rFonts w:eastAsia="Calibri"/>
                <w:sz w:val="22"/>
                <w:szCs w:val="22"/>
                <w:lang w:val="en-US"/>
              </w:rPr>
              <w:t>.</w:t>
            </w:r>
            <w:r w:rsidRPr="000478B4">
              <w:rPr>
                <w:rFonts w:eastAsia="Calibri"/>
                <w:sz w:val="22"/>
                <w:szCs w:val="22"/>
                <w:lang w:val="en-US"/>
              </w:rPr>
              <w:t>92</w:t>
            </w:r>
          </w:p>
        </w:tc>
        <w:tc>
          <w:tcPr>
            <w:tcW w:w="891" w:type="dxa"/>
            <w:shd w:val="clear" w:color="auto" w:fill="auto"/>
            <w:vAlign w:val="center"/>
          </w:tcPr>
          <w:p w:rsidR="00597221" w:rsidRPr="000478B4" w:rsidRDefault="00597221" w:rsidP="000478B4">
            <w:pPr>
              <w:jc w:val="center"/>
              <w:rPr>
                <w:rFonts w:eastAsia="Calibri"/>
                <w:sz w:val="22"/>
                <w:szCs w:val="22"/>
                <w:lang w:val="en-US"/>
              </w:rPr>
            </w:pPr>
            <w:r w:rsidRPr="000478B4">
              <w:rPr>
                <w:rFonts w:eastAsia="Calibri"/>
                <w:sz w:val="22"/>
                <w:szCs w:val="22"/>
                <w:lang w:val="en-US"/>
              </w:rPr>
              <w:t>55</w:t>
            </w:r>
            <w:r w:rsidR="00E101EF" w:rsidRPr="000478B4">
              <w:rPr>
                <w:rFonts w:eastAsia="Calibri"/>
                <w:sz w:val="22"/>
                <w:szCs w:val="22"/>
                <w:lang w:val="en-US"/>
              </w:rPr>
              <w:t>.</w:t>
            </w:r>
            <w:r w:rsidRPr="000478B4">
              <w:rPr>
                <w:rFonts w:eastAsia="Calibri"/>
                <w:sz w:val="22"/>
                <w:szCs w:val="22"/>
                <w:lang w:val="en-US"/>
              </w:rPr>
              <w:t>58</w:t>
            </w:r>
          </w:p>
        </w:tc>
        <w:tc>
          <w:tcPr>
            <w:tcW w:w="891" w:type="dxa"/>
            <w:shd w:val="clear" w:color="auto" w:fill="auto"/>
            <w:vAlign w:val="center"/>
          </w:tcPr>
          <w:p w:rsidR="00597221" w:rsidRPr="000478B4" w:rsidRDefault="00597221" w:rsidP="000478B4">
            <w:pPr>
              <w:ind w:left="-136" w:right="-54"/>
              <w:jc w:val="center"/>
              <w:rPr>
                <w:rFonts w:eastAsia="Calibri"/>
                <w:sz w:val="22"/>
                <w:szCs w:val="22"/>
                <w:lang w:val="en-US"/>
              </w:rPr>
            </w:pPr>
            <w:r w:rsidRPr="000478B4">
              <w:rPr>
                <w:rFonts w:eastAsia="Calibri"/>
                <w:sz w:val="22"/>
                <w:szCs w:val="22"/>
                <w:lang w:val="en-US"/>
              </w:rPr>
              <w:t>56</w:t>
            </w:r>
            <w:r w:rsidR="00E101EF" w:rsidRPr="000478B4">
              <w:rPr>
                <w:rFonts w:eastAsia="Calibri"/>
                <w:sz w:val="22"/>
                <w:szCs w:val="22"/>
                <w:lang w:val="en-US"/>
              </w:rPr>
              <w:t>.</w:t>
            </w:r>
            <w:r w:rsidRPr="000478B4">
              <w:rPr>
                <w:rFonts w:eastAsia="Calibri"/>
                <w:sz w:val="22"/>
                <w:szCs w:val="22"/>
                <w:lang w:val="en-US"/>
              </w:rPr>
              <w:t>67</w:t>
            </w:r>
          </w:p>
        </w:tc>
      </w:tr>
      <w:tr w:rsidR="00597221" w:rsidRPr="000478B4" w:rsidTr="007F254D">
        <w:trPr>
          <w:trHeight w:val="20"/>
        </w:trPr>
        <w:tc>
          <w:tcPr>
            <w:tcW w:w="4307" w:type="dxa"/>
            <w:shd w:val="clear" w:color="auto" w:fill="auto"/>
          </w:tcPr>
          <w:p w:rsidR="00597221" w:rsidRPr="000478B4" w:rsidRDefault="00597221" w:rsidP="000478B4">
            <w:pPr>
              <w:rPr>
                <w:sz w:val="22"/>
                <w:szCs w:val="22"/>
                <w:lang w:val="en-US"/>
              </w:rPr>
            </w:pPr>
            <w:r w:rsidRPr="000478B4">
              <w:rPr>
                <w:sz w:val="22"/>
                <w:szCs w:val="22"/>
                <w:lang w:val="en-US"/>
              </w:rPr>
              <w:t xml:space="preserve">I10 </w:t>
            </w:r>
            <w:r w:rsidR="0092433E" w:rsidRPr="000478B4">
              <w:rPr>
                <w:sz w:val="22"/>
                <w:szCs w:val="22"/>
                <w:lang w:val="en-US"/>
              </w:rPr>
              <w:t>– L</w:t>
            </w:r>
            <w:r w:rsidRPr="000478B4">
              <w:rPr>
                <w:sz w:val="22"/>
                <w:szCs w:val="22"/>
                <w:lang w:val="en-US"/>
              </w:rPr>
              <w:t>iquid assets to t</w:t>
            </w:r>
            <w:r w:rsidR="0092433E" w:rsidRPr="000478B4">
              <w:rPr>
                <w:sz w:val="22"/>
                <w:szCs w:val="22"/>
                <w:lang w:val="en-US"/>
              </w:rPr>
              <w:t>o</w:t>
            </w:r>
            <w:r w:rsidRPr="000478B4">
              <w:rPr>
                <w:sz w:val="22"/>
                <w:szCs w:val="22"/>
                <w:lang w:val="en-US"/>
              </w:rPr>
              <w:t>tal assets ratio</w:t>
            </w:r>
          </w:p>
        </w:tc>
        <w:tc>
          <w:tcPr>
            <w:tcW w:w="891" w:type="dxa"/>
            <w:shd w:val="clear" w:color="auto" w:fill="auto"/>
            <w:noWrap/>
            <w:vAlign w:val="center"/>
          </w:tcPr>
          <w:p w:rsidR="00597221" w:rsidRPr="000478B4" w:rsidRDefault="00597221" w:rsidP="000478B4">
            <w:pPr>
              <w:jc w:val="center"/>
              <w:rPr>
                <w:rFonts w:eastAsia="Calibri"/>
                <w:sz w:val="22"/>
                <w:szCs w:val="22"/>
                <w:lang w:val="en-US"/>
              </w:rPr>
            </w:pPr>
            <w:r w:rsidRPr="000478B4">
              <w:rPr>
                <w:rFonts w:eastAsia="Calibri"/>
                <w:sz w:val="22"/>
                <w:szCs w:val="22"/>
                <w:lang w:val="en-US"/>
              </w:rPr>
              <w:t>48</w:t>
            </w:r>
            <w:r w:rsidR="00E101EF" w:rsidRPr="000478B4">
              <w:rPr>
                <w:rFonts w:eastAsia="Calibri"/>
                <w:sz w:val="22"/>
                <w:szCs w:val="22"/>
                <w:lang w:val="en-US"/>
              </w:rPr>
              <w:t>.</w:t>
            </w:r>
            <w:r w:rsidRPr="000478B4">
              <w:rPr>
                <w:rFonts w:eastAsia="Calibri"/>
                <w:sz w:val="22"/>
                <w:szCs w:val="22"/>
                <w:lang w:val="en-US"/>
              </w:rPr>
              <w:t>53</w:t>
            </w:r>
          </w:p>
        </w:tc>
        <w:tc>
          <w:tcPr>
            <w:tcW w:w="891" w:type="dxa"/>
            <w:shd w:val="clear" w:color="auto" w:fill="auto"/>
            <w:vAlign w:val="center"/>
          </w:tcPr>
          <w:p w:rsidR="00597221" w:rsidRPr="000478B4" w:rsidRDefault="00597221" w:rsidP="000478B4">
            <w:pPr>
              <w:jc w:val="center"/>
              <w:rPr>
                <w:rFonts w:eastAsia="Calibri"/>
                <w:sz w:val="22"/>
                <w:szCs w:val="22"/>
                <w:lang w:val="en-US"/>
              </w:rPr>
            </w:pPr>
            <w:r w:rsidRPr="000478B4">
              <w:rPr>
                <w:rFonts w:eastAsia="Calibri"/>
                <w:sz w:val="22"/>
                <w:szCs w:val="22"/>
                <w:lang w:val="en-US"/>
              </w:rPr>
              <w:t>53</w:t>
            </w:r>
            <w:r w:rsidR="00E101EF" w:rsidRPr="000478B4">
              <w:rPr>
                <w:rFonts w:eastAsia="Calibri"/>
                <w:sz w:val="22"/>
                <w:szCs w:val="22"/>
                <w:lang w:val="en-US"/>
              </w:rPr>
              <w:t>.</w:t>
            </w:r>
            <w:r w:rsidRPr="000478B4">
              <w:rPr>
                <w:rFonts w:eastAsia="Calibri"/>
                <w:sz w:val="22"/>
                <w:szCs w:val="22"/>
                <w:lang w:val="en-US"/>
              </w:rPr>
              <w:t>94</w:t>
            </w:r>
          </w:p>
        </w:tc>
        <w:tc>
          <w:tcPr>
            <w:tcW w:w="891" w:type="dxa"/>
            <w:shd w:val="clear" w:color="auto" w:fill="auto"/>
            <w:noWrap/>
            <w:vAlign w:val="center"/>
          </w:tcPr>
          <w:p w:rsidR="00597221" w:rsidRPr="000478B4" w:rsidRDefault="00597221" w:rsidP="000478B4">
            <w:pPr>
              <w:jc w:val="center"/>
              <w:rPr>
                <w:rFonts w:eastAsia="Calibri"/>
                <w:sz w:val="22"/>
                <w:szCs w:val="22"/>
                <w:lang w:val="en-US"/>
              </w:rPr>
            </w:pPr>
            <w:r w:rsidRPr="000478B4">
              <w:rPr>
                <w:rFonts w:eastAsia="Calibri"/>
                <w:sz w:val="22"/>
                <w:szCs w:val="22"/>
                <w:lang w:val="en-US"/>
              </w:rPr>
              <w:t>51</w:t>
            </w:r>
            <w:r w:rsidR="00E101EF" w:rsidRPr="000478B4">
              <w:rPr>
                <w:rFonts w:eastAsia="Calibri"/>
                <w:sz w:val="22"/>
                <w:szCs w:val="22"/>
                <w:lang w:val="en-US"/>
              </w:rPr>
              <w:t>.</w:t>
            </w:r>
            <w:r w:rsidRPr="000478B4">
              <w:rPr>
                <w:rFonts w:eastAsia="Calibri"/>
                <w:sz w:val="22"/>
                <w:szCs w:val="22"/>
                <w:lang w:val="en-US"/>
              </w:rPr>
              <w:t>14</w:t>
            </w:r>
          </w:p>
        </w:tc>
        <w:tc>
          <w:tcPr>
            <w:tcW w:w="891" w:type="dxa"/>
            <w:shd w:val="clear" w:color="auto" w:fill="auto"/>
            <w:vAlign w:val="center"/>
          </w:tcPr>
          <w:p w:rsidR="00597221" w:rsidRPr="000478B4" w:rsidRDefault="00597221" w:rsidP="000478B4">
            <w:pPr>
              <w:jc w:val="center"/>
              <w:rPr>
                <w:rFonts w:eastAsia="Calibri"/>
                <w:sz w:val="22"/>
                <w:szCs w:val="22"/>
                <w:lang w:val="en-US"/>
              </w:rPr>
            </w:pPr>
            <w:r w:rsidRPr="000478B4">
              <w:rPr>
                <w:rFonts w:eastAsia="Calibri"/>
                <w:sz w:val="22"/>
                <w:szCs w:val="22"/>
                <w:lang w:val="en-US"/>
              </w:rPr>
              <w:t>72</w:t>
            </w:r>
            <w:r w:rsidR="00E101EF" w:rsidRPr="000478B4">
              <w:rPr>
                <w:rFonts w:eastAsia="Calibri"/>
                <w:sz w:val="22"/>
                <w:szCs w:val="22"/>
                <w:lang w:val="en-US"/>
              </w:rPr>
              <w:t>.</w:t>
            </w:r>
            <w:r w:rsidRPr="000478B4">
              <w:rPr>
                <w:rFonts w:eastAsia="Calibri"/>
                <w:sz w:val="22"/>
                <w:szCs w:val="22"/>
                <w:lang w:val="en-US"/>
              </w:rPr>
              <w:t>28</w:t>
            </w:r>
          </w:p>
        </w:tc>
        <w:tc>
          <w:tcPr>
            <w:tcW w:w="891" w:type="dxa"/>
            <w:shd w:val="clear" w:color="auto" w:fill="auto"/>
            <w:vAlign w:val="center"/>
          </w:tcPr>
          <w:p w:rsidR="00597221" w:rsidRPr="000478B4" w:rsidRDefault="00597221" w:rsidP="000478B4">
            <w:pPr>
              <w:ind w:left="-136" w:right="-54"/>
              <w:jc w:val="center"/>
              <w:rPr>
                <w:rFonts w:eastAsia="Calibri"/>
                <w:sz w:val="22"/>
                <w:szCs w:val="22"/>
                <w:lang w:val="en-US"/>
              </w:rPr>
            </w:pPr>
            <w:r w:rsidRPr="000478B4">
              <w:rPr>
                <w:rFonts w:eastAsia="Calibri"/>
                <w:sz w:val="22"/>
                <w:szCs w:val="22"/>
                <w:lang w:val="en-US"/>
              </w:rPr>
              <w:t>71</w:t>
            </w:r>
            <w:r w:rsidR="00E101EF" w:rsidRPr="000478B4">
              <w:rPr>
                <w:rFonts w:eastAsia="Calibri"/>
                <w:sz w:val="22"/>
                <w:szCs w:val="22"/>
                <w:lang w:val="en-US"/>
              </w:rPr>
              <w:t>.</w:t>
            </w:r>
            <w:r w:rsidRPr="000478B4">
              <w:rPr>
                <w:rFonts w:eastAsia="Calibri"/>
                <w:sz w:val="22"/>
                <w:szCs w:val="22"/>
                <w:lang w:val="en-US"/>
              </w:rPr>
              <w:t>71</w:t>
            </w:r>
          </w:p>
        </w:tc>
      </w:tr>
      <w:tr w:rsidR="00597221" w:rsidRPr="000478B4" w:rsidTr="007F254D">
        <w:trPr>
          <w:trHeight w:val="20"/>
        </w:trPr>
        <w:tc>
          <w:tcPr>
            <w:tcW w:w="4307" w:type="dxa"/>
            <w:shd w:val="clear" w:color="auto" w:fill="auto"/>
          </w:tcPr>
          <w:p w:rsidR="00597221" w:rsidRPr="000478B4" w:rsidRDefault="00597221" w:rsidP="000478B4">
            <w:pPr>
              <w:rPr>
                <w:sz w:val="22"/>
                <w:szCs w:val="22"/>
                <w:lang w:val="en-US"/>
              </w:rPr>
            </w:pPr>
            <w:r w:rsidRPr="000478B4">
              <w:rPr>
                <w:sz w:val="22"/>
                <w:szCs w:val="22"/>
                <w:lang w:val="en-US"/>
              </w:rPr>
              <w:t xml:space="preserve">I11 </w:t>
            </w:r>
            <w:r w:rsidR="0092433E" w:rsidRPr="000478B4">
              <w:rPr>
                <w:sz w:val="22"/>
                <w:szCs w:val="22"/>
                <w:lang w:val="en-US"/>
              </w:rPr>
              <w:t>– L</w:t>
            </w:r>
            <w:r w:rsidRPr="000478B4">
              <w:rPr>
                <w:sz w:val="22"/>
                <w:szCs w:val="22"/>
                <w:lang w:val="en-US"/>
              </w:rPr>
              <w:t>iquid assets to short-term liabilities ratio</w:t>
            </w:r>
          </w:p>
        </w:tc>
        <w:tc>
          <w:tcPr>
            <w:tcW w:w="891" w:type="dxa"/>
            <w:shd w:val="clear" w:color="auto" w:fill="auto"/>
            <w:noWrap/>
            <w:vAlign w:val="center"/>
          </w:tcPr>
          <w:p w:rsidR="00597221" w:rsidRPr="000478B4" w:rsidRDefault="00597221" w:rsidP="000478B4">
            <w:pPr>
              <w:jc w:val="center"/>
              <w:rPr>
                <w:rFonts w:eastAsia="Calibri"/>
                <w:sz w:val="22"/>
                <w:szCs w:val="22"/>
                <w:lang w:val="en-US"/>
              </w:rPr>
            </w:pPr>
            <w:r w:rsidRPr="000478B4">
              <w:rPr>
                <w:rFonts w:eastAsia="Calibri"/>
                <w:sz w:val="22"/>
                <w:szCs w:val="22"/>
                <w:lang w:val="en-US"/>
              </w:rPr>
              <w:t>92</w:t>
            </w:r>
            <w:r w:rsidR="00E101EF" w:rsidRPr="000478B4">
              <w:rPr>
                <w:rFonts w:eastAsia="Calibri"/>
                <w:sz w:val="22"/>
                <w:szCs w:val="22"/>
                <w:lang w:val="en-US"/>
              </w:rPr>
              <w:t>.</w:t>
            </w:r>
            <w:r w:rsidRPr="000478B4">
              <w:rPr>
                <w:rFonts w:eastAsia="Calibri"/>
                <w:sz w:val="22"/>
                <w:szCs w:val="22"/>
                <w:lang w:val="en-US"/>
              </w:rPr>
              <w:t>09</w:t>
            </w:r>
          </w:p>
        </w:tc>
        <w:tc>
          <w:tcPr>
            <w:tcW w:w="891" w:type="dxa"/>
            <w:shd w:val="clear" w:color="auto" w:fill="auto"/>
            <w:vAlign w:val="center"/>
          </w:tcPr>
          <w:p w:rsidR="00597221" w:rsidRPr="000478B4" w:rsidRDefault="00597221" w:rsidP="000478B4">
            <w:pPr>
              <w:jc w:val="center"/>
              <w:rPr>
                <w:rFonts w:eastAsia="Calibri"/>
                <w:sz w:val="22"/>
                <w:szCs w:val="22"/>
                <w:lang w:val="en-US"/>
              </w:rPr>
            </w:pPr>
            <w:r w:rsidRPr="000478B4">
              <w:rPr>
                <w:rFonts w:eastAsia="Calibri"/>
                <w:sz w:val="22"/>
                <w:szCs w:val="22"/>
                <w:lang w:val="en-US"/>
              </w:rPr>
              <w:t>98</w:t>
            </w:r>
            <w:r w:rsidR="00E101EF" w:rsidRPr="000478B4">
              <w:rPr>
                <w:rFonts w:eastAsia="Calibri"/>
                <w:sz w:val="22"/>
                <w:szCs w:val="22"/>
                <w:lang w:val="en-US"/>
              </w:rPr>
              <w:t>.</w:t>
            </w:r>
            <w:r w:rsidRPr="000478B4">
              <w:rPr>
                <w:rFonts w:eastAsia="Calibri"/>
                <w:sz w:val="22"/>
                <w:szCs w:val="22"/>
                <w:lang w:val="en-US"/>
              </w:rPr>
              <w:t>37</w:t>
            </w:r>
          </w:p>
        </w:tc>
        <w:tc>
          <w:tcPr>
            <w:tcW w:w="891" w:type="dxa"/>
            <w:shd w:val="clear" w:color="auto" w:fill="auto"/>
            <w:noWrap/>
            <w:vAlign w:val="center"/>
          </w:tcPr>
          <w:p w:rsidR="00597221" w:rsidRPr="000478B4" w:rsidRDefault="00597221" w:rsidP="000478B4">
            <w:pPr>
              <w:jc w:val="center"/>
              <w:rPr>
                <w:rFonts w:eastAsia="Calibri"/>
                <w:sz w:val="22"/>
                <w:szCs w:val="22"/>
                <w:lang w:val="en-US"/>
              </w:rPr>
            </w:pPr>
            <w:r w:rsidRPr="000478B4">
              <w:rPr>
                <w:rFonts w:eastAsia="Calibri"/>
                <w:sz w:val="22"/>
                <w:szCs w:val="22"/>
                <w:lang w:val="en-US"/>
              </w:rPr>
              <w:t>93</w:t>
            </w:r>
            <w:r w:rsidR="00E101EF" w:rsidRPr="000478B4">
              <w:rPr>
                <w:rFonts w:eastAsia="Calibri"/>
                <w:sz w:val="22"/>
                <w:szCs w:val="22"/>
                <w:lang w:val="en-US"/>
              </w:rPr>
              <w:t>.</w:t>
            </w:r>
            <w:r w:rsidRPr="000478B4">
              <w:rPr>
                <w:rFonts w:eastAsia="Calibri"/>
                <w:sz w:val="22"/>
                <w:szCs w:val="22"/>
                <w:lang w:val="en-US"/>
              </w:rPr>
              <w:t>52</w:t>
            </w:r>
          </w:p>
        </w:tc>
        <w:tc>
          <w:tcPr>
            <w:tcW w:w="891" w:type="dxa"/>
            <w:shd w:val="clear" w:color="auto" w:fill="auto"/>
            <w:vAlign w:val="center"/>
          </w:tcPr>
          <w:p w:rsidR="00597221" w:rsidRPr="000478B4" w:rsidRDefault="00597221" w:rsidP="000478B4">
            <w:pPr>
              <w:jc w:val="center"/>
              <w:rPr>
                <w:rFonts w:eastAsia="Calibri"/>
                <w:sz w:val="22"/>
                <w:szCs w:val="22"/>
                <w:lang w:val="en-US"/>
              </w:rPr>
            </w:pPr>
            <w:r w:rsidRPr="000478B4">
              <w:rPr>
                <w:rFonts w:eastAsia="Calibri"/>
                <w:sz w:val="22"/>
                <w:szCs w:val="22"/>
                <w:lang w:val="en-US"/>
              </w:rPr>
              <w:t>94</w:t>
            </w:r>
            <w:r w:rsidR="00E101EF" w:rsidRPr="000478B4">
              <w:rPr>
                <w:rFonts w:eastAsia="Calibri"/>
                <w:sz w:val="22"/>
                <w:szCs w:val="22"/>
                <w:lang w:val="en-US"/>
              </w:rPr>
              <w:t>.</w:t>
            </w:r>
            <w:r w:rsidRPr="000478B4">
              <w:rPr>
                <w:rFonts w:eastAsia="Calibri"/>
                <w:sz w:val="22"/>
                <w:szCs w:val="22"/>
                <w:lang w:val="en-US"/>
              </w:rPr>
              <w:t>35</w:t>
            </w:r>
          </w:p>
        </w:tc>
        <w:tc>
          <w:tcPr>
            <w:tcW w:w="891" w:type="dxa"/>
            <w:shd w:val="clear" w:color="auto" w:fill="auto"/>
            <w:vAlign w:val="center"/>
          </w:tcPr>
          <w:p w:rsidR="00597221" w:rsidRPr="000478B4" w:rsidRDefault="00597221" w:rsidP="000478B4">
            <w:pPr>
              <w:ind w:left="-136" w:right="-54"/>
              <w:jc w:val="center"/>
              <w:rPr>
                <w:rFonts w:eastAsia="Calibri"/>
                <w:sz w:val="22"/>
                <w:szCs w:val="22"/>
                <w:lang w:val="en-US"/>
              </w:rPr>
            </w:pPr>
            <w:r w:rsidRPr="000478B4">
              <w:rPr>
                <w:rFonts w:eastAsia="Calibri"/>
                <w:sz w:val="22"/>
                <w:szCs w:val="22"/>
                <w:lang w:val="en-US"/>
              </w:rPr>
              <w:t>89</w:t>
            </w:r>
            <w:r w:rsidR="00E101EF" w:rsidRPr="000478B4">
              <w:rPr>
                <w:rFonts w:eastAsia="Calibri"/>
                <w:sz w:val="22"/>
                <w:szCs w:val="22"/>
                <w:lang w:val="en-US"/>
              </w:rPr>
              <w:t>.</w:t>
            </w:r>
            <w:r w:rsidRPr="000478B4">
              <w:rPr>
                <w:rFonts w:eastAsia="Calibri"/>
                <w:sz w:val="22"/>
                <w:szCs w:val="22"/>
                <w:lang w:val="en-US"/>
              </w:rPr>
              <w:t>68</w:t>
            </w:r>
          </w:p>
        </w:tc>
      </w:tr>
      <w:tr w:rsidR="00597221" w:rsidRPr="000478B4" w:rsidTr="007F254D">
        <w:trPr>
          <w:trHeight w:val="20"/>
        </w:trPr>
        <w:tc>
          <w:tcPr>
            <w:tcW w:w="4307" w:type="dxa"/>
            <w:shd w:val="clear" w:color="auto" w:fill="auto"/>
          </w:tcPr>
          <w:p w:rsidR="00597221" w:rsidRPr="000478B4" w:rsidRDefault="00597221" w:rsidP="000478B4">
            <w:pPr>
              <w:rPr>
                <w:sz w:val="22"/>
                <w:szCs w:val="22"/>
                <w:lang w:val="en-US"/>
              </w:rPr>
            </w:pPr>
            <w:r w:rsidRPr="000478B4">
              <w:rPr>
                <w:sz w:val="22"/>
                <w:szCs w:val="22"/>
                <w:lang w:val="en-US"/>
              </w:rPr>
              <w:t xml:space="preserve">I12 </w:t>
            </w:r>
            <w:r w:rsidR="0092433E" w:rsidRPr="000478B4">
              <w:rPr>
                <w:sz w:val="22"/>
                <w:szCs w:val="22"/>
                <w:lang w:val="en-US"/>
              </w:rPr>
              <w:t>– N</w:t>
            </w:r>
            <w:r w:rsidRPr="000478B4">
              <w:rPr>
                <w:sz w:val="22"/>
                <w:szCs w:val="22"/>
                <w:lang w:val="en-US"/>
              </w:rPr>
              <w:t>et open position in foreign currenc</w:t>
            </w:r>
            <w:r w:rsidR="0092433E" w:rsidRPr="000478B4">
              <w:rPr>
                <w:sz w:val="22"/>
                <w:szCs w:val="22"/>
                <w:lang w:val="en-US"/>
              </w:rPr>
              <w:t>ies</w:t>
            </w:r>
            <w:r w:rsidRPr="000478B4">
              <w:rPr>
                <w:sz w:val="22"/>
                <w:szCs w:val="22"/>
                <w:lang w:val="en-US"/>
              </w:rPr>
              <w:t xml:space="preserve"> to capital ratio</w:t>
            </w:r>
          </w:p>
        </w:tc>
        <w:tc>
          <w:tcPr>
            <w:tcW w:w="891" w:type="dxa"/>
            <w:shd w:val="clear" w:color="auto" w:fill="auto"/>
            <w:noWrap/>
            <w:vAlign w:val="center"/>
          </w:tcPr>
          <w:p w:rsidR="00597221" w:rsidRPr="000478B4" w:rsidRDefault="00597221" w:rsidP="000478B4">
            <w:pPr>
              <w:jc w:val="center"/>
              <w:rPr>
                <w:rFonts w:eastAsia="Calibri"/>
                <w:sz w:val="22"/>
                <w:szCs w:val="22"/>
                <w:lang w:val="en-US"/>
              </w:rPr>
            </w:pPr>
            <w:r w:rsidRPr="000478B4">
              <w:rPr>
                <w:rFonts w:eastAsia="Calibri"/>
                <w:sz w:val="22"/>
                <w:szCs w:val="22"/>
                <w:lang w:val="en-US"/>
              </w:rPr>
              <w:t>57</w:t>
            </w:r>
            <w:r w:rsidR="00E101EF" w:rsidRPr="000478B4">
              <w:rPr>
                <w:rFonts w:eastAsia="Calibri"/>
                <w:sz w:val="22"/>
                <w:szCs w:val="22"/>
                <w:lang w:val="en-US"/>
              </w:rPr>
              <w:t>.</w:t>
            </w:r>
            <w:r w:rsidRPr="000478B4">
              <w:rPr>
                <w:rFonts w:eastAsia="Calibri"/>
                <w:sz w:val="22"/>
                <w:szCs w:val="22"/>
                <w:lang w:val="en-US"/>
              </w:rPr>
              <w:t>07</w:t>
            </w:r>
          </w:p>
        </w:tc>
        <w:tc>
          <w:tcPr>
            <w:tcW w:w="891" w:type="dxa"/>
            <w:shd w:val="clear" w:color="auto" w:fill="auto"/>
            <w:vAlign w:val="center"/>
          </w:tcPr>
          <w:p w:rsidR="00597221" w:rsidRPr="000478B4" w:rsidRDefault="00597221" w:rsidP="000478B4">
            <w:pPr>
              <w:jc w:val="center"/>
              <w:rPr>
                <w:rFonts w:eastAsia="Calibri"/>
                <w:sz w:val="22"/>
                <w:szCs w:val="22"/>
                <w:lang w:val="en-US"/>
              </w:rPr>
            </w:pPr>
            <w:r w:rsidRPr="000478B4">
              <w:rPr>
                <w:rFonts w:eastAsia="Calibri"/>
                <w:sz w:val="22"/>
                <w:szCs w:val="22"/>
                <w:lang w:val="en-US"/>
              </w:rPr>
              <w:t>43</w:t>
            </w:r>
            <w:r w:rsidR="00E101EF" w:rsidRPr="000478B4">
              <w:rPr>
                <w:rFonts w:eastAsia="Calibri"/>
                <w:sz w:val="22"/>
                <w:szCs w:val="22"/>
                <w:lang w:val="en-US"/>
              </w:rPr>
              <w:t>.</w:t>
            </w:r>
            <w:r w:rsidRPr="000478B4">
              <w:rPr>
                <w:rFonts w:eastAsia="Calibri"/>
                <w:sz w:val="22"/>
                <w:szCs w:val="22"/>
                <w:lang w:val="en-US"/>
              </w:rPr>
              <w:t>31</w:t>
            </w:r>
          </w:p>
        </w:tc>
        <w:tc>
          <w:tcPr>
            <w:tcW w:w="891" w:type="dxa"/>
            <w:shd w:val="clear" w:color="auto" w:fill="auto"/>
            <w:noWrap/>
            <w:vAlign w:val="center"/>
          </w:tcPr>
          <w:p w:rsidR="00597221" w:rsidRPr="000478B4" w:rsidRDefault="00597221" w:rsidP="000478B4">
            <w:pPr>
              <w:jc w:val="center"/>
              <w:rPr>
                <w:rFonts w:eastAsia="Calibri"/>
                <w:sz w:val="22"/>
                <w:szCs w:val="22"/>
                <w:lang w:val="en-US"/>
              </w:rPr>
            </w:pPr>
            <w:r w:rsidRPr="000478B4">
              <w:rPr>
                <w:rFonts w:eastAsia="Calibri"/>
                <w:sz w:val="22"/>
                <w:szCs w:val="22"/>
                <w:lang w:val="en-US"/>
              </w:rPr>
              <w:t>46</w:t>
            </w:r>
            <w:r w:rsidR="00E101EF" w:rsidRPr="000478B4">
              <w:rPr>
                <w:rFonts w:eastAsia="Calibri"/>
                <w:sz w:val="22"/>
                <w:szCs w:val="22"/>
                <w:lang w:val="en-US"/>
              </w:rPr>
              <w:t>.</w:t>
            </w:r>
            <w:r w:rsidRPr="000478B4">
              <w:rPr>
                <w:rFonts w:eastAsia="Calibri"/>
                <w:sz w:val="22"/>
                <w:szCs w:val="22"/>
                <w:lang w:val="en-US"/>
              </w:rPr>
              <w:t>99</w:t>
            </w:r>
          </w:p>
        </w:tc>
        <w:tc>
          <w:tcPr>
            <w:tcW w:w="891" w:type="dxa"/>
            <w:shd w:val="clear" w:color="auto" w:fill="auto"/>
            <w:vAlign w:val="center"/>
          </w:tcPr>
          <w:p w:rsidR="00597221" w:rsidRPr="000478B4" w:rsidRDefault="00597221" w:rsidP="000478B4">
            <w:pPr>
              <w:jc w:val="center"/>
              <w:rPr>
                <w:rFonts w:eastAsia="Calibri"/>
                <w:sz w:val="22"/>
                <w:szCs w:val="22"/>
                <w:lang w:val="en-US"/>
              </w:rPr>
            </w:pPr>
            <w:r w:rsidRPr="000478B4">
              <w:rPr>
                <w:rFonts w:eastAsia="Calibri"/>
                <w:sz w:val="22"/>
                <w:szCs w:val="22"/>
                <w:lang w:val="en-US"/>
              </w:rPr>
              <w:t>47</w:t>
            </w:r>
            <w:r w:rsidR="00E101EF" w:rsidRPr="000478B4">
              <w:rPr>
                <w:rFonts w:eastAsia="Calibri"/>
                <w:sz w:val="22"/>
                <w:szCs w:val="22"/>
                <w:lang w:val="en-US"/>
              </w:rPr>
              <w:t>.</w:t>
            </w:r>
            <w:r w:rsidRPr="000478B4">
              <w:rPr>
                <w:rFonts w:eastAsia="Calibri"/>
                <w:sz w:val="22"/>
                <w:szCs w:val="22"/>
                <w:lang w:val="en-US"/>
              </w:rPr>
              <w:t>44</w:t>
            </w:r>
          </w:p>
        </w:tc>
        <w:tc>
          <w:tcPr>
            <w:tcW w:w="891" w:type="dxa"/>
            <w:shd w:val="clear" w:color="auto" w:fill="auto"/>
            <w:vAlign w:val="center"/>
          </w:tcPr>
          <w:p w:rsidR="00597221" w:rsidRPr="000478B4" w:rsidRDefault="00597221" w:rsidP="000478B4">
            <w:pPr>
              <w:ind w:left="-136" w:right="-54"/>
              <w:jc w:val="center"/>
              <w:rPr>
                <w:rFonts w:eastAsia="Calibri"/>
                <w:sz w:val="22"/>
                <w:szCs w:val="22"/>
                <w:lang w:val="en-US"/>
              </w:rPr>
            </w:pPr>
            <w:r w:rsidRPr="000478B4">
              <w:rPr>
                <w:rFonts w:eastAsia="Calibri"/>
                <w:sz w:val="22"/>
                <w:szCs w:val="22"/>
                <w:lang w:val="en-US"/>
              </w:rPr>
              <w:t>35</w:t>
            </w:r>
            <w:r w:rsidR="00E101EF" w:rsidRPr="000478B4">
              <w:rPr>
                <w:rFonts w:eastAsia="Calibri"/>
                <w:sz w:val="22"/>
                <w:szCs w:val="22"/>
                <w:lang w:val="en-US"/>
              </w:rPr>
              <w:t>.</w:t>
            </w:r>
            <w:r w:rsidRPr="000478B4">
              <w:rPr>
                <w:rFonts w:eastAsia="Calibri"/>
                <w:sz w:val="22"/>
                <w:szCs w:val="22"/>
                <w:lang w:val="en-US"/>
              </w:rPr>
              <w:t>58</w:t>
            </w:r>
          </w:p>
        </w:tc>
      </w:tr>
    </w:tbl>
    <w:p w:rsidR="00DE0EC8" w:rsidRPr="000478B4" w:rsidRDefault="00DE0EC8" w:rsidP="000478B4">
      <w:pPr>
        <w:ind w:firstLine="709"/>
        <w:contextualSpacing/>
        <w:rPr>
          <w:rFonts w:eastAsia="Times New Roman"/>
          <w:i/>
          <w:sz w:val="20"/>
          <w:szCs w:val="20"/>
          <w:lang w:val="en-US" w:eastAsia="ru-RU"/>
        </w:rPr>
      </w:pPr>
      <w:r w:rsidRPr="000478B4">
        <w:rPr>
          <w:rFonts w:eastAsia="Times New Roman"/>
          <w:sz w:val="20"/>
          <w:szCs w:val="20"/>
          <w:lang w:val="en-US" w:eastAsia="ru-RU"/>
        </w:rPr>
        <w:t xml:space="preserve">* </w:t>
      </w:r>
      <w:r w:rsidR="00463915" w:rsidRPr="000478B4">
        <w:rPr>
          <w:rFonts w:eastAsia="Times New Roman"/>
          <w:i/>
          <w:sz w:val="20"/>
          <w:szCs w:val="20"/>
          <w:lang w:val="en-US" w:eastAsia="ru-RU"/>
        </w:rPr>
        <w:t>D</w:t>
      </w:r>
      <w:r w:rsidR="00463915" w:rsidRPr="000478B4">
        <w:rPr>
          <w:rFonts w:eastAsia="Calibri"/>
          <w:i/>
          <w:sz w:val="20"/>
          <w:szCs w:val="20"/>
          <w:lang w:val="en-US"/>
        </w:rPr>
        <w:t>ata for 9 months of 2020</w:t>
      </w:r>
      <w:r w:rsidRPr="000478B4">
        <w:rPr>
          <w:rFonts w:eastAsia="Calibri"/>
          <w:i/>
          <w:sz w:val="20"/>
          <w:szCs w:val="20"/>
          <w:lang w:val="en-US"/>
        </w:rPr>
        <w:t>.</w:t>
      </w:r>
    </w:p>
    <w:p w:rsidR="00DE0EC8" w:rsidRPr="000478B4" w:rsidRDefault="0092433E" w:rsidP="000478B4">
      <w:pPr>
        <w:ind w:firstLine="709"/>
        <w:contextualSpacing/>
        <w:rPr>
          <w:rFonts w:eastAsia="Calibri"/>
          <w:i/>
          <w:sz w:val="20"/>
          <w:szCs w:val="20"/>
          <w:lang w:val="en-US"/>
        </w:rPr>
      </w:pPr>
      <w:r w:rsidRPr="000478B4">
        <w:rPr>
          <w:rFonts w:eastAsia="Calibri"/>
          <w:i/>
          <w:sz w:val="20"/>
          <w:szCs w:val="20"/>
          <w:lang w:val="en-US"/>
        </w:rPr>
        <w:t>*</w:t>
      </w:r>
      <w:r w:rsidR="00463915" w:rsidRPr="000478B4">
        <w:rPr>
          <w:rFonts w:eastAsia="Calibri"/>
          <w:i/>
          <w:sz w:val="20"/>
          <w:szCs w:val="20"/>
          <w:lang w:val="en-US"/>
        </w:rPr>
        <w:t>*</w:t>
      </w:r>
      <w:r w:rsidRPr="000478B4">
        <w:rPr>
          <w:rFonts w:eastAsia="Calibri"/>
          <w:i/>
          <w:sz w:val="20"/>
          <w:szCs w:val="20"/>
          <w:lang w:val="en-US"/>
        </w:rPr>
        <w:t>Complied according to the National Bank of Ukraine</w:t>
      </w:r>
      <w:r w:rsidR="00DE0EC8" w:rsidRPr="000478B4">
        <w:rPr>
          <w:rFonts w:eastAsia="Times New Roman"/>
          <w:sz w:val="20"/>
          <w:szCs w:val="20"/>
          <w:lang w:val="en-US" w:eastAsia="ru-RU"/>
        </w:rPr>
        <w:t xml:space="preserve"> </w:t>
      </w:r>
      <w:r w:rsidR="00DE0EC8" w:rsidRPr="000478B4">
        <w:rPr>
          <w:rFonts w:eastAsia="Times New Roman"/>
          <w:i/>
          <w:sz w:val="20"/>
          <w:szCs w:val="20"/>
          <w:lang w:val="en-US" w:eastAsia="ru-RU"/>
        </w:rPr>
        <w:t>[</w:t>
      </w:r>
      <w:r w:rsidR="007A420B" w:rsidRPr="000478B4">
        <w:rPr>
          <w:rFonts w:eastAsia="Times New Roman"/>
          <w:i/>
          <w:sz w:val="20"/>
          <w:szCs w:val="20"/>
          <w:lang w:eastAsia="ru-RU"/>
        </w:rPr>
        <w:t>20</w:t>
      </w:r>
      <w:r w:rsidR="00DE0EC8" w:rsidRPr="000478B4">
        <w:rPr>
          <w:rFonts w:eastAsia="Times New Roman"/>
          <w:i/>
          <w:sz w:val="20"/>
          <w:szCs w:val="20"/>
          <w:lang w:val="en-US" w:eastAsia="ru-RU"/>
        </w:rPr>
        <w:t>]</w:t>
      </w:r>
      <w:r w:rsidR="00463915" w:rsidRPr="000478B4">
        <w:rPr>
          <w:rFonts w:eastAsia="Times New Roman"/>
          <w:i/>
          <w:sz w:val="20"/>
          <w:szCs w:val="20"/>
          <w:lang w:val="en-US" w:eastAsia="ru-RU"/>
        </w:rPr>
        <w:t>.</w:t>
      </w:r>
    </w:p>
    <w:p w:rsidR="00DE0EC8" w:rsidRPr="000478B4" w:rsidRDefault="00E101EF" w:rsidP="000478B4">
      <w:pPr>
        <w:ind w:firstLine="567"/>
        <w:contextualSpacing/>
        <w:rPr>
          <w:rFonts w:eastAsia="Calibri"/>
          <w:sz w:val="24"/>
          <w:szCs w:val="24"/>
          <w:lang w:val="en-US"/>
        </w:rPr>
      </w:pPr>
      <w:r w:rsidRPr="000478B4">
        <w:rPr>
          <w:rFonts w:eastAsia="Calibri"/>
          <w:sz w:val="24"/>
          <w:szCs w:val="24"/>
          <w:lang w:val="en-US"/>
        </w:rPr>
        <w:t xml:space="preserve"> </w:t>
      </w:r>
    </w:p>
    <w:p w:rsidR="00273914" w:rsidRPr="000478B4" w:rsidRDefault="00273914" w:rsidP="000478B4">
      <w:pPr>
        <w:ind w:firstLine="709"/>
        <w:contextualSpacing/>
        <w:rPr>
          <w:rFonts w:eastAsia="Calibri"/>
          <w:sz w:val="24"/>
          <w:szCs w:val="24"/>
          <w:lang w:val="en-US"/>
        </w:rPr>
      </w:pPr>
      <w:r w:rsidRPr="000478B4">
        <w:rPr>
          <w:rFonts w:eastAsia="Calibri"/>
          <w:sz w:val="24"/>
          <w:szCs w:val="24"/>
          <w:lang w:val="en-US"/>
        </w:rPr>
        <w:t>The dynamics of indicators I1 – I4, given in Table 3, confirms the conclusions made earlier on the gradual improvement of capital stability of the Ukrainian banks and the quality of their loan portfolios. A slight decrease in indicator I5 means an increase in the share of loans to non-residents, which necessitates particular attention of banks to monitoring their creditworthiness.</w:t>
      </w:r>
    </w:p>
    <w:p w:rsidR="00273914" w:rsidRPr="000478B4" w:rsidRDefault="00273914" w:rsidP="000478B4">
      <w:pPr>
        <w:ind w:firstLine="709"/>
        <w:contextualSpacing/>
        <w:rPr>
          <w:rFonts w:eastAsia="Calibri"/>
          <w:sz w:val="24"/>
          <w:szCs w:val="24"/>
          <w:lang w:val="en-US"/>
        </w:rPr>
      </w:pPr>
      <w:r w:rsidRPr="000478B4">
        <w:rPr>
          <w:rFonts w:eastAsia="Calibri"/>
          <w:sz w:val="24"/>
          <w:szCs w:val="24"/>
          <w:lang w:val="en-US"/>
        </w:rPr>
        <w:t xml:space="preserve">Indicators I6 and I7 show that in 2018-2020, the banking sector as a whole began to generate profits, which creates the preconditions for strengthening their financial stability. Indicator I8, despite some fluctuations over a period of time, </w:t>
      </w:r>
      <w:r w:rsidR="009816CC" w:rsidRPr="000478B4">
        <w:rPr>
          <w:rFonts w:eastAsia="Calibri"/>
          <w:sz w:val="24"/>
          <w:szCs w:val="24"/>
          <w:lang w:val="en-US"/>
        </w:rPr>
        <w:t>has</w:t>
      </w:r>
      <w:r w:rsidRPr="000478B4">
        <w:rPr>
          <w:rFonts w:eastAsia="Calibri"/>
          <w:sz w:val="24"/>
          <w:szCs w:val="24"/>
          <w:lang w:val="en-US"/>
        </w:rPr>
        <w:t xml:space="preserve"> a positive </w:t>
      </w:r>
      <w:r w:rsidR="009816CC" w:rsidRPr="000478B4">
        <w:rPr>
          <w:rFonts w:eastAsia="Calibri"/>
          <w:sz w:val="24"/>
          <w:szCs w:val="24"/>
          <w:lang w:val="en-US"/>
        </w:rPr>
        <w:t>trend</w:t>
      </w:r>
      <w:r w:rsidRPr="000478B4">
        <w:rPr>
          <w:rFonts w:eastAsia="Calibri"/>
          <w:sz w:val="24"/>
          <w:szCs w:val="24"/>
          <w:lang w:val="en-US"/>
        </w:rPr>
        <w:t xml:space="preserve">, as it confirms the growing diversification of the income base of the Ukrainian banks. The trend of indicator I9 is ​​also positive and indicates </w:t>
      </w:r>
      <w:r w:rsidR="009816CC" w:rsidRPr="000478B4">
        <w:rPr>
          <w:rFonts w:eastAsia="Calibri"/>
          <w:sz w:val="24"/>
          <w:szCs w:val="24"/>
          <w:lang w:val="en-US"/>
        </w:rPr>
        <w:t xml:space="preserve">implementing </w:t>
      </w:r>
      <w:r w:rsidRPr="000478B4">
        <w:rPr>
          <w:rFonts w:eastAsia="Calibri"/>
          <w:sz w:val="24"/>
          <w:szCs w:val="24"/>
          <w:lang w:val="en-US"/>
        </w:rPr>
        <w:t>the austerity policies in banks, which reflected in the increase in their profitability.</w:t>
      </w:r>
    </w:p>
    <w:p w:rsidR="00951708" w:rsidRPr="000478B4" w:rsidRDefault="00273914" w:rsidP="000478B4">
      <w:pPr>
        <w:ind w:firstLine="709"/>
        <w:contextualSpacing/>
        <w:rPr>
          <w:sz w:val="24"/>
          <w:szCs w:val="24"/>
        </w:rPr>
      </w:pPr>
      <w:r w:rsidRPr="000478B4">
        <w:rPr>
          <w:rFonts w:eastAsia="Calibri"/>
          <w:sz w:val="24"/>
          <w:szCs w:val="24"/>
          <w:lang w:val="en-US"/>
        </w:rPr>
        <w:t>During the period 2016-2020, liquidity indicators (I10 and I11) significantly exceeded the normative values, which indicates not only the ability of banks to pay their obligations on time, but also the significant untapped opportunities to invest in profitable assets, the lack of banks</w:t>
      </w:r>
      <w:r w:rsidR="00234F2C" w:rsidRPr="000478B4">
        <w:rPr>
          <w:rFonts w:eastAsia="Calibri"/>
          <w:sz w:val="24"/>
          <w:szCs w:val="24"/>
          <w:lang w:val="en-US"/>
        </w:rPr>
        <w:t>’</w:t>
      </w:r>
      <w:r w:rsidRPr="000478B4">
        <w:rPr>
          <w:rFonts w:eastAsia="Calibri"/>
          <w:sz w:val="24"/>
          <w:szCs w:val="24"/>
          <w:lang w:val="en-US"/>
        </w:rPr>
        <w:t xml:space="preserve"> desire to take additional risks. </w:t>
      </w:r>
      <w:r w:rsidR="00234F2C" w:rsidRPr="000478B4">
        <w:rPr>
          <w:rFonts w:eastAsia="Calibri"/>
          <w:sz w:val="24"/>
          <w:szCs w:val="24"/>
          <w:lang w:val="en-US"/>
        </w:rPr>
        <w:t xml:space="preserve">It should be noted that </w:t>
      </w:r>
      <w:r w:rsidRPr="000478B4">
        <w:rPr>
          <w:rFonts w:eastAsia="Calibri"/>
          <w:sz w:val="24"/>
          <w:szCs w:val="24"/>
          <w:lang w:val="en-US"/>
        </w:rPr>
        <w:t xml:space="preserve">since September, 2019 </w:t>
      </w:r>
      <w:r w:rsidR="00234F2C" w:rsidRPr="000478B4">
        <w:rPr>
          <w:rFonts w:eastAsia="Calibri"/>
          <w:sz w:val="24"/>
          <w:szCs w:val="24"/>
          <w:lang w:val="en-US"/>
        </w:rPr>
        <w:t xml:space="preserve">the calculation of </w:t>
      </w:r>
      <w:r w:rsidRPr="000478B4">
        <w:rPr>
          <w:rFonts w:eastAsia="Calibri"/>
          <w:sz w:val="24"/>
          <w:szCs w:val="24"/>
          <w:lang w:val="en-US"/>
        </w:rPr>
        <w:t xml:space="preserve">liquidity </w:t>
      </w:r>
      <w:r w:rsidR="009816CC" w:rsidRPr="000478B4">
        <w:rPr>
          <w:rFonts w:eastAsia="Calibri"/>
          <w:sz w:val="24"/>
          <w:szCs w:val="24"/>
          <w:lang w:val="en-US"/>
        </w:rPr>
        <w:t>ratios</w:t>
      </w:r>
      <w:r w:rsidRPr="000478B4">
        <w:rPr>
          <w:rFonts w:eastAsia="Calibri"/>
          <w:sz w:val="24"/>
          <w:szCs w:val="24"/>
          <w:lang w:val="en-US"/>
        </w:rPr>
        <w:t xml:space="preserve"> </w:t>
      </w:r>
      <w:r w:rsidR="00234F2C" w:rsidRPr="000478B4">
        <w:rPr>
          <w:rFonts w:eastAsia="Calibri"/>
          <w:sz w:val="24"/>
          <w:szCs w:val="24"/>
          <w:lang w:val="en-US"/>
        </w:rPr>
        <w:t>N</w:t>
      </w:r>
      <w:r w:rsidRPr="000478B4">
        <w:rPr>
          <w:rFonts w:eastAsia="Calibri"/>
          <w:sz w:val="24"/>
          <w:szCs w:val="24"/>
          <w:lang w:val="en-US"/>
        </w:rPr>
        <w:t xml:space="preserve">4 and </w:t>
      </w:r>
      <w:r w:rsidR="00234F2C" w:rsidRPr="000478B4">
        <w:rPr>
          <w:rFonts w:eastAsia="Calibri"/>
          <w:sz w:val="24"/>
          <w:szCs w:val="24"/>
          <w:lang w:val="en-US"/>
        </w:rPr>
        <w:t>N</w:t>
      </w:r>
      <w:r w:rsidRPr="000478B4">
        <w:rPr>
          <w:rFonts w:eastAsia="Calibri"/>
          <w:sz w:val="24"/>
          <w:szCs w:val="24"/>
          <w:lang w:val="en-US"/>
        </w:rPr>
        <w:t xml:space="preserve">5 </w:t>
      </w:r>
      <w:r w:rsidR="00234F2C" w:rsidRPr="000478B4">
        <w:rPr>
          <w:rFonts w:eastAsia="Calibri"/>
          <w:sz w:val="24"/>
          <w:szCs w:val="24"/>
          <w:lang w:val="en-US"/>
        </w:rPr>
        <w:t>was cancelled in Ukraine</w:t>
      </w:r>
      <w:r w:rsidRPr="000478B4">
        <w:rPr>
          <w:rFonts w:eastAsia="Calibri"/>
          <w:sz w:val="24"/>
          <w:szCs w:val="24"/>
          <w:lang w:val="en-US"/>
        </w:rPr>
        <w:t xml:space="preserve">. Instead, banking institutions should calculate the liquidity coverage ratio </w:t>
      </w:r>
      <w:r w:rsidR="00671124" w:rsidRPr="000478B4">
        <w:rPr>
          <w:rFonts w:eastAsia="Calibri"/>
          <w:sz w:val="24"/>
          <w:szCs w:val="24"/>
          <w:lang w:val="en-US"/>
        </w:rPr>
        <w:t>(</w:t>
      </w:r>
      <w:r w:rsidRPr="000478B4">
        <w:rPr>
          <w:rFonts w:eastAsia="Calibri"/>
          <w:sz w:val="24"/>
          <w:szCs w:val="24"/>
          <w:lang w:val="en-US"/>
        </w:rPr>
        <w:t>LCR</w:t>
      </w:r>
      <w:r w:rsidR="00671124" w:rsidRPr="000478B4">
        <w:rPr>
          <w:rFonts w:eastAsia="Calibri"/>
          <w:sz w:val="24"/>
          <w:szCs w:val="24"/>
          <w:lang w:val="en-US"/>
        </w:rPr>
        <w:t>)</w:t>
      </w:r>
      <w:r w:rsidRPr="000478B4">
        <w:rPr>
          <w:rFonts w:eastAsia="Calibri"/>
          <w:sz w:val="24"/>
          <w:szCs w:val="24"/>
          <w:lang w:val="en-US"/>
        </w:rPr>
        <w:t xml:space="preserve"> on a daily basis, which more effectively reflects the level of banks</w:t>
      </w:r>
      <w:r w:rsidR="001A1296" w:rsidRPr="000478B4">
        <w:rPr>
          <w:rFonts w:eastAsia="Calibri"/>
          <w:sz w:val="24"/>
          <w:szCs w:val="24"/>
          <w:lang w:val="en-US"/>
        </w:rPr>
        <w:t>’</w:t>
      </w:r>
      <w:r w:rsidRPr="000478B4">
        <w:rPr>
          <w:rFonts w:eastAsia="Calibri"/>
          <w:sz w:val="24"/>
          <w:szCs w:val="24"/>
          <w:lang w:val="en-US"/>
        </w:rPr>
        <w:t xml:space="preserve"> resilience </w:t>
      </w:r>
      <w:r w:rsidRPr="000478B4">
        <w:rPr>
          <w:rFonts w:eastAsia="Calibri"/>
          <w:sz w:val="24"/>
          <w:szCs w:val="24"/>
          <w:lang w:val="en-US"/>
        </w:rPr>
        <w:lastRenderedPageBreak/>
        <w:t xml:space="preserve">to short-term liquidity shocks. As of </w:t>
      </w:r>
      <w:r w:rsidR="009816CC" w:rsidRPr="000478B4">
        <w:rPr>
          <w:rFonts w:eastAsia="Calibri"/>
          <w:sz w:val="24"/>
          <w:szCs w:val="24"/>
          <w:lang w:val="en-US"/>
        </w:rPr>
        <w:t>October</w:t>
      </w:r>
      <w:r w:rsidRPr="000478B4">
        <w:rPr>
          <w:rFonts w:eastAsia="Calibri"/>
          <w:sz w:val="24"/>
          <w:szCs w:val="24"/>
          <w:lang w:val="en-US"/>
        </w:rPr>
        <w:t xml:space="preserve"> 1, 2020, the normative values ​​of both </w:t>
      </w:r>
      <w:proofErr w:type="spellStart"/>
      <w:r w:rsidRPr="000478B4">
        <w:rPr>
          <w:rFonts w:eastAsia="Calibri"/>
          <w:sz w:val="24"/>
          <w:szCs w:val="24"/>
          <w:lang w:val="en-US"/>
        </w:rPr>
        <w:t>LCR</w:t>
      </w:r>
      <w:r w:rsidR="001A1296" w:rsidRPr="000478B4">
        <w:rPr>
          <w:rFonts w:eastAsia="Calibri"/>
          <w:sz w:val="24"/>
          <w:szCs w:val="24"/>
          <w:vertAlign w:val="subscript"/>
          <w:lang w:val="en-US"/>
        </w:rPr>
        <w:t>ac</w:t>
      </w:r>
      <w:proofErr w:type="spellEnd"/>
      <w:r w:rsidRPr="000478B4">
        <w:rPr>
          <w:rFonts w:eastAsia="Calibri"/>
          <w:sz w:val="24"/>
          <w:szCs w:val="24"/>
          <w:lang w:val="en-US"/>
        </w:rPr>
        <w:t xml:space="preserve"> (liquidity coverage ratio for all currencies) and </w:t>
      </w:r>
      <w:proofErr w:type="spellStart"/>
      <w:r w:rsidRPr="000478B4">
        <w:rPr>
          <w:rFonts w:eastAsia="Calibri"/>
          <w:sz w:val="24"/>
          <w:szCs w:val="24"/>
          <w:lang w:val="en-US"/>
        </w:rPr>
        <w:t>LCR</w:t>
      </w:r>
      <w:r w:rsidR="001A1296" w:rsidRPr="000478B4">
        <w:rPr>
          <w:rFonts w:eastAsia="Calibri"/>
          <w:sz w:val="24"/>
          <w:szCs w:val="24"/>
          <w:vertAlign w:val="subscript"/>
          <w:lang w:val="en-US"/>
        </w:rPr>
        <w:t>fc</w:t>
      </w:r>
      <w:proofErr w:type="spellEnd"/>
      <w:r w:rsidRPr="000478B4">
        <w:rPr>
          <w:rFonts w:eastAsia="Calibri"/>
          <w:sz w:val="24"/>
          <w:szCs w:val="24"/>
          <w:lang w:val="en-US"/>
        </w:rPr>
        <w:t xml:space="preserve"> (liquidity coverage ratio </w:t>
      </w:r>
      <w:r w:rsidR="001A1296" w:rsidRPr="000478B4">
        <w:rPr>
          <w:rFonts w:eastAsia="Calibri"/>
          <w:sz w:val="24"/>
          <w:szCs w:val="24"/>
          <w:lang w:val="en-US"/>
        </w:rPr>
        <w:t>for</w:t>
      </w:r>
      <w:r w:rsidRPr="000478B4">
        <w:rPr>
          <w:rFonts w:eastAsia="Calibri"/>
          <w:sz w:val="24"/>
          <w:szCs w:val="24"/>
          <w:lang w:val="en-US"/>
        </w:rPr>
        <w:t xml:space="preserve"> foreign currenc</w:t>
      </w:r>
      <w:r w:rsidR="00671124" w:rsidRPr="000478B4">
        <w:rPr>
          <w:rFonts w:eastAsia="Calibri"/>
          <w:sz w:val="24"/>
          <w:szCs w:val="24"/>
          <w:lang w:val="en-US"/>
        </w:rPr>
        <w:t>ies</w:t>
      </w:r>
      <w:r w:rsidRPr="000478B4">
        <w:rPr>
          <w:rFonts w:eastAsia="Calibri"/>
          <w:sz w:val="24"/>
          <w:szCs w:val="24"/>
          <w:lang w:val="en-US"/>
        </w:rPr>
        <w:t xml:space="preserve">) were </w:t>
      </w:r>
      <w:r w:rsidR="001A1296" w:rsidRPr="000478B4">
        <w:rPr>
          <w:rFonts w:eastAsia="Calibri"/>
          <w:sz w:val="24"/>
          <w:szCs w:val="24"/>
          <w:lang w:val="en-US"/>
        </w:rPr>
        <w:t>met</w:t>
      </w:r>
      <w:r w:rsidRPr="000478B4">
        <w:rPr>
          <w:rFonts w:eastAsia="Calibri"/>
          <w:sz w:val="24"/>
          <w:szCs w:val="24"/>
          <w:lang w:val="en-US"/>
        </w:rPr>
        <w:t xml:space="preserve"> by all banks of Ukraine </w:t>
      </w:r>
      <w:r w:rsidR="00671124" w:rsidRPr="000478B4">
        <w:rPr>
          <w:rFonts w:eastAsia="Calibri"/>
          <w:sz w:val="24"/>
          <w:szCs w:val="24"/>
          <w:lang w:val="en-US"/>
        </w:rPr>
        <w:t>[</w:t>
      </w:r>
      <w:r w:rsidR="00163AE9" w:rsidRPr="000478B4">
        <w:rPr>
          <w:rFonts w:eastAsia="Calibri"/>
          <w:sz w:val="24"/>
          <w:szCs w:val="24"/>
        </w:rPr>
        <w:t>1</w:t>
      </w:r>
      <w:r w:rsidR="007A420B" w:rsidRPr="000478B4">
        <w:rPr>
          <w:rFonts w:eastAsia="Calibri"/>
          <w:sz w:val="24"/>
          <w:szCs w:val="24"/>
        </w:rPr>
        <w:t>7</w:t>
      </w:r>
      <w:r w:rsidR="00671124" w:rsidRPr="000478B4">
        <w:rPr>
          <w:rFonts w:eastAsia="Calibri"/>
          <w:sz w:val="24"/>
          <w:szCs w:val="24"/>
          <w:lang w:val="en-US"/>
        </w:rPr>
        <w:t>]</w:t>
      </w:r>
      <w:r w:rsidRPr="000478B4">
        <w:rPr>
          <w:rFonts w:eastAsia="Calibri"/>
          <w:sz w:val="24"/>
          <w:szCs w:val="24"/>
          <w:lang w:val="en-US"/>
        </w:rPr>
        <w:t>, which create</w:t>
      </w:r>
      <w:r w:rsidR="001A1296" w:rsidRPr="000478B4">
        <w:rPr>
          <w:rFonts w:eastAsia="Calibri"/>
          <w:sz w:val="24"/>
          <w:szCs w:val="24"/>
          <w:lang w:val="en-US"/>
        </w:rPr>
        <w:t>d</w:t>
      </w:r>
      <w:r w:rsidRPr="000478B4">
        <w:rPr>
          <w:rFonts w:eastAsia="Calibri"/>
          <w:sz w:val="24"/>
          <w:szCs w:val="24"/>
          <w:lang w:val="en-US"/>
        </w:rPr>
        <w:t xml:space="preserve"> the basis for ensuring their financial stability.</w:t>
      </w:r>
      <w:r w:rsidR="00951708" w:rsidRPr="000478B4">
        <w:rPr>
          <w:sz w:val="24"/>
          <w:szCs w:val="24"/>
          <w:lang w:val="en-US"/>
        </w:rPr>
        <w:t xml:space="preserve"> </w:t>
      </w:r>
    </w:p>
    <w:p w:rsidR="00273914" w:rsidRPr="000478B4" w:rsidRDefault="009816CC" w:rsidP="000478B4">
      <w:pPr>
        <w:ind w:firstLine="709"/>
        <w:contextualSpacing/>
        <w:rPr>
          <w:rFonts w:eastAsia="Calibri"/>
          <w:sz w:val="24"/>
          <w:szCs w:val="24"/>
          <w:lang w:val="en-US"/>
        </w:rPr>
      </w:pPr>
      <w:r w:rsidRPr="000478B4">
        <w:rPr>
          <w:sz w:val="24"/>
          <w:szCs w:val="24"/>
          <w:lang w:val="en-US"/>
        </w:rPr>
        <w:t xml:space="preserve">Summarizing, </w:t>
      </w:r>
      <w:r w:rsidR="00951708" w:rsidRPr="000478B4">
        <w:rPr>
          <w:sz w:val="24"/>
          <w:szCs w:val="24"/>
          <w:lang w:val="en-US"/>
        </w:rPr>
        <w:t>currently the banking sector is the most financially stable in its history</w:t>
      </w:r>
      <w:r w:rsidR="00E45762" w:rsidRPr="000478B4">
        <w:rPr>
          <w:sz w:val="24"/>
          <w:szCs w:val="24"/>
          <w:lang w:val="en-US"/>
        </w:rPr>
        <w:t>, according to the NBU</w:t>
      </w:r>
      <w:r w:rsidR="00951708" w:rsidRPr="000478B4">
        <w:rPr>
          <w:sz w:val="24"/>
          <w:szCs w:val="24"/>
          <w:lang w:val="en-US"/>
        </w:rPr>
        <w:t xml:space="preserve"> [20, p. 21], despite the impact of the pandemic and quarantine restrictions.</w:t>
      </w:r>
    </w:p>
    <w:p w:rsidR="006D6B20" w:rsidRPr="000478B4" w:rsidRDefault="009632FE" w:rsidP="000478B4">
      <w:pPr>
        <w:ind w:firstLine="709"/>
        <w:contextualSpacing/>
        <w:rPr>
          <w:sz w:val="24"/>
          <w:szCs w:val="24"/>
          <w:lang w:val="en-US"/>
        </w:rPr>
      </w:pPr>
      <w:proofErr w:type="gramStart"/>
      <w:r w:rsidRPr="000478B4">
        <w:rPr>
          <w:rFonts w:eastAsia="Calibri"/>
          <w:b/>
          <w:sz w:val="24"/>
          <w:szCs w:val="24"/>
          <w:lang w:val="en-US"/>
        </w:rPr>
        <w:t>Conclusion.</w:t>
      </w:r>
      <w:proofErr w:type="gramEnd"/>
      <w:r w:rsidRPr="000478B4">
        <w:rPr>
          <w:sz w:val="24"/>
          <w:szCs w:val="24"/>
        </w:rPr>
        <w:t xml:space="preserve"> </w:t>
      </w:r>
      <w:r w:rsidR="006D6B20" w:rsidRPr="000478B4">
        <w:rPr>
          <w:sz w:val="24"/>
          <w:szCs w:val="24"/>
          <w:lang w:val="en-US"/>
        </w:rPr>
        <w:t xml:space="preserve">The study led to the conclusion that the internal balance is </w:t>
      </w:r>
      <w:r w:rsidR="00CF425B" w:rsidRPr="000478B4">
        <w:rPr>
          <w:sz w:val="24"/>
          <w:szCs w:val="24"/>
          <w:lang w:val="en-US"/>
        </w:rPr>
        <w:t xml:space="preserve">the </w:t>
      </w:r>
      <w:r w:rsidR="006D6B20" w:rsidRPr="000478B4">
        <w:rPr>
          <w:sz w:val="24"/>
          <w:szCs w:val="24"/>
          <w:lang w:val="en-US"/>
        </w:rPr>
        <w:t>basic determinant of the financial stability</w:t>
      </w:r>
      <w:r w:rsidR="00CF425B" w:rsidRPr="000478B4">
        <w:rPr>
          <w:sz w:val="24"/>
          <w:szCs w:val="24"/>
          <w:lang w:val="en-US"/>
        </w:rPr>
        <w:t xml:space="preserve"> of the bank</w:t>
      </w:r>
      <w:r w:rsidR="006D6B20" w:rsidRPr="000478B4">
        <w:rPr>
          <w:sz w:val="24"/>
          <w:szCs w:val="24"/>
          <w:lang w:val="en-US"/>
        </w:rPr>
        <w:t>. Given the modern transformation of banking, the meaning of this concept is significantly enriched. Along with the established attributes of the bank</w:t>
      </w:r>
      <w:r w:rsidR="00CF425B" w:rsidRPr="000478B4">
        <w:rPr>
          <w:sz w:val="24"/>
          <w:szCs w:val="24"/>
          <w:lang w:val="en-US"/>
        </w:rPr>
        <w:t>’</w:t>
      </w:r>
      <w:r w:rsidR="006D6B20" w:rsidRPr="000478B4">
        <w:rPr>
          <w:sz w:val="24"/>
          <w:szCs w:val="24"/>
          <w:lang w:val="en-US"/>
        </w:rPr>
        <w:t xml:space="preserve">s financial stability (equilibrium, proactive threat management, maintenance of continuity, efficiency and financial </w:t>
      </w:r>
      <w:r w:rsidR="00CF425B" w:rsidRPr="000478B4">
        <w:rPr>
          <w:sz w:val="24"/>
          <w:szCs w:val="24"/>
          <w:lang w:val="en-US"/>
        </w:rPr>
        <w:t>effectiveness</w:t>
      </w:r>
      <w:r w:rsidR="006D6B20" w:rsidRPr="000478B4">
        <w:rPr>
          <w:sz w:val="24"/>
          <w:szCs w:val="24"/>
          <w:lang w:val="en-US"/>
        </w:rPr>
        <w:t>), it is now necessary to focus on early adaptation of the banking institution to objective transformations of the economic environment through integration</w:t>
      </w:r>
      <w:r w:rsidR="00CF425B" w:rsidRPr="000478B4">
        <w:rPr>
          <w:sz w:val="24"/>
          <w:szCs w:val="24"/>
          <w:lang w:val="en-US"/>
        </w:rPr>
        <w:t xml:space="preserve"> of risk-oriented</w:t>
      </w:r>
      <w:r w:rsidR="006D6B20" w:rsidRPr="000478B4">
        <w:rPr>
          <w:sz w:val="24"/>
          <w:szCs w:val="24"/>
          <w:lang w:val="en-US"/>
        </w:rPr>
        <w:t xml:space="preserve"> approach and use of advanced methods of bank management in all its business processes.</w:t>
      </w:r>
    </w:p>
    <w:p w:rsidR="006D6B20" w:rsidRPr="000478B4" w:rsidRDefault="00CF425B" w:rsidP="000478B4">
      <w:pPr>
        <w:ind w:firstLine="709"/>
        <w:contextualSpacing/>
        <w:rPr>
          <w:sz w:val="24"/>
          <w:szCs w:val="24"/>
          <w:lang w:val="en-US"/>
        </w:rPr>
      </w:pPr>
      <w:r w:rsidRPr="000478B4">
        <w:rPr>
          <w:sz w:val="24"/>
          <w:szCs w:val="24"/>
          <w:lang w:val="en-US"/>
        </w:rPr>
        <w:t>The dynamic context is a</w:t>
      </w:r>
      <w:r w:rsidR="006D6B20" w:rsidRPr="000478B4">
        <w:rPr>
          <w:sz w:val="24"/>
          <w:szCs w:val="24"/>
          <w:lang w:val="en-US"/>
        </w:rPr>
        <w:t xml:space="preserve"> defining feature of assessing the financial stability of banks, which is embodied in the definition of certain indicators and the study of their trends</w:t>
      </w:r>
      <w:r w:rsidRPr="000478B4">
        <w:rPr>
          <w:sz w:val="24"/>
          <w:szCs w:val="24"/>
          <w:lang w:val="en-US"/>
        </w:rPr>
        <w:t>.</w:t>
      </w:r>
      <w:r w:rsidR="006D6B20" w:rsidRPr="000478B4">
        <w:rPr>
          <w:sz w:val="24"/>
          <w:szCs w:val="24"/>
          <w:lang w:val="en-US"/>
        </w:rPr>
        <w:t xml:space="preserve"> </w:t>
      </w:r>
      <w:r w:rsidRPr="000478B4">
        <w:rPr>
          <w:sz w:val="24"/>
          <w:szCs w:val="24"/>
          <w:lang w:val="en-US"/>
        </w:rPr>
        <w:t>This</w:t>
      </w:r>
      <w:r w:rsidR="006D6B20" w:rsidRPr="000478B4">
        <w:rPr>
          <w:sz w:val="24"/>
          <w:szCs w:val="24"/>
          <w:lang w:val="en-US"/>
        </w:rPr>
        <w:t xml:space="preserve"> </w:t>
      </w:r>
      <w:r w:rsidRPr="000478B4">
        <w:rPr>
          <w:sz w:val="24"/>
          <w:szCs w:val="24"/>
          <w:lang w:val="en-US"/>
        </w:rPr>
        <w:t>helps</w:t>
      </w:r>
      <w:r w:rsidR="006D6B20" w:rsidRPr="000478B4">
        <w:rPr>
          <w:sz w:val="24"/>
          <w:szCs w:val="24"/>
          <w:lang w:val="en-US"/>
        </w:rPr>
        <w:t xml:space="preserve"> to identify existing or possible problems in banks </w:t>
      </w:r>
      <w:r w:rsidRPr="000478B4">
        <w:rPr>
          <w:sz w:val="24"/>
          <w:szCs w:val="24"/>
          <w:lang w:val="en-US"/>
        </w:rPr>
        <w:t>that</w:t>
      </w:r>
      <w:r w:rsidR="006D6B20" w:rsidRPr="000478B4">
        <w:rPr>
          <w:sz w:val="24"/>
          <w:szCs w:val="24"/>
          <w:lang w:val="en-US"/>
        </w:rPr>
        <w:t xml:space="preserve"> can lead to financial fragility.</w:t>
      </w:r>
    </w:p>
    <w:p w:rsidR="00CF425B" w:rsidRPr="000478B4" w:rsidRDefault="00CF425B" w:rsidP="000478B4">
      <w:pPr>
        <w:ind w:firstLine="709"/>
        <w:contextualSpacing/>
        <w:rPr>
          <w:sz w:val="24"/>
          <w:szCs w:val="24"/>
          <w:lang w:val="en-US"/>
        </w:rPr>
      </w:pPr>
      <w:r w:rsidRPr="000478B4">
        <w:rPr>
          <w:sz w:val="24"/>
          <w:szCs w:val="24"/>
          <w:lang w:val="en-US"/>
        </w:rPr>
        <w:t>Ukrainian banks have significantly increased their resilience to the crisis over the past five years. Thus, in the banking sector there is an increase in capitalization, a gradual decrease in non-performing loans in the loan portfolio, the implementation and compliance with new capital and liquidity ratios, which allows us to conclude that it improves its financial stability. Moreover, domestic banks are showing sufficient readiness for the crisis. Carrying out rapid diagnosis of financial stability of banks in the areas identified in the study allows identifying its deterioration in time, assessing the likelihood of a financial crisis and promptly taking appropriate measures to prevent critical consequences for the national economy.</w:t>
      </w:r>
    </w:p>
    <w:p w:rsidR="00951708" w:rsidRPr="000478B4" w:rsidRDefault="00951708" w:rsidP="000478B4">
      <w:pPr>
        <w:ind w:firstLine="709"/>
        <w:contextualSpacing/>
        <w:rPr>
          <w:b/>
          <w:i/>
          <w:sz w:val="24"/>
          <w:szCs w:val="24"/>
        </w:rPr>
      </w:pPr>
    </w:p>
    <w:p w:rsidR="00672BE3" w:rsidRPr="000478B4" w:rsidRDefault="00672BE3" w:rsidP="000478B4">
      <w:pPr>
        <w:ind w:firstLine="709"/>
        <w:contextualSpacing/>
        <w:rPr>
          <w:b/>
          <w:i/>
          <w:sz w:val="24"/>
          <w:szCs w:val="24"/>
          <w:lang w:val="en-US"/>
        </w:rPr>
      </w:pPr>
      <w:r w:rsidRPr="000478B4">
        <w:rPr>
          <w:b/>
          <w:i/>
          <w:sz w:val="24"/>
          <w:szCs w:val="24"/>
          <w:lang w:val="en-US"/>
        </w:rPr>
        <w:t>REFERENCES:</w:t>
      </w:r>
    </w:p>
    <w:p w:rsidR="00672BE3" w:rsidRPr="000478B4" w:rsidRDefault="00672BE3" w:rsidP="000478B4">
      <w:pPr>
        <w:numPr>
          <w:ilvl w:val="0"/>
          <w:numId w:val="1"/>
        </w:numPr>
        <w:tabs>
          <w:tab w:val="left" w:pos="284"/>
        </w:tabs>
        <w:ind w:left="0" w:firstLine="709"/>
        <w:contextualSpacing/>
        <w:rPr>
          <w:sz w:val="24"/>
          <w:szCs w:val="24"/>
          <w:lang w:val="en-US"/>
        </w:rPr>
      </w:pPr>
      <w:proofErr w:type="spellStart"/>
      <w:r w:rsidRPr="000478B4">
        <w:rPr>
          <w:sz w:val="24"/>
          <w:szCs w:val="24"/>
          <w:lang w:val="en-US"/>
        </w:rPr>
        <w:t>Stiglitz</w:t>
      </w:r>
      <w:proofErr w:type="spellEnd"/>
      <w:r w:rsidRPr="000478B4">
        <w:rPr>
          <w:sz w:val="24"/>
          <w:szCs w:val="24"/>
          <w:lang w:val="en-US"/>
        </w:rPr>
        <w:t xml:space="preserve">, J. and Weiss, A. (1981), “Credit Rationing in Markets with Imperfect Information”, </w:t>
      </w:r>
      <w:r w:rsidRPr="000478B4">
        <w:rPr>
          <w:i/>
          <w:sz w:val="24"/>
          <w:szCs w:val="24"/>
          <w:lang w:val="en-US"/>
        </w:rPr>
        <w:t xml:space="preserve">The American Economic Review, </w:t>
      </w:r>
      <w:r w:rsidRPr="000478B4">
        <w:rPr>
          <w:sz w:val="24"/>
          <w:szCs w:val="24"/>
          <w:lang w:val="en-US"/>
        </w:rPr>
        <w:t>vol. 71, no. 3, pp. 393-410.</w:t>
      </w:r>
    </w:p>
    <w:p w:rsidR="00672BE3" w:rsidRPr="000478B4" w:rsidRDefault="00672BE3" w:rsidP="000478B4">
      <w:pPr>
        <w:numPr>
          <w:ilvl w:val="0"/>
          <w:numId w:val="1"/>
        </w:numPr>
        <w:tabs>
          <w:tab w:val="left" w:pos="284"/>
        </w:tabs>
        <w:ind w:left="0" w:firstLine="709"/>
        <w:contextualSpacing/>
        <w:rPr>
          <w:sz w:val="24"/>
          <w:szCs w:val="24"/>
          <w:lang w:val="en-US"/>
        </w:rPr>
      </w:pPr>
      <w:proofErr w:type="spellStart"/>
      <w:r w:rsidRPr="000478B4">
        <w:rPr>
          <w:sz w:val="24"/>
          <w:szCs w:val="24"/>
          <w:lang w:val="en-US"/>
        </w:rPr>
        <w:t>Demiguc-Kunt</w:t>
      </w:r>
      <w:proofErr w:type="spellEnd"/>
      <w:r w:rsidRPr="000478B4">
        <w:rPr>
          <w:sz w:val="24"/>
          <w:szCs w:val="24"/>
          <w:lang w:val="en-US"/>
        </w:rPr>
        <w:t xml:space="preserve">, A. and </w:t>
      </w:r>
      <w:proofErr w:type="spellStart"/>
      <w:r w:rsidRPr="000478B4">
        <w:rPr>
          <w:sz w:val="24"/>
          <w:szCs w:val="24"/>
          <w:lang w:val="en-US"/>
        </w:rPr>
        <w:t>Dedtragilache</w:t>
      </w:r>
      <w:proofErr w:type="spellEnd"/>
      <w:r w:rsidRPr="000478B4">
        <w:rPr>
          <w:sz w:val="24"/>
          <w:szCs w:val="24"/>
          <w:lang w:val="en-US"/>
        </w:rPr>
        <w:t xml:space="preserve">, E. (1998), </w:t>
      </w:r>
      <w:proofErr w:type="gramStart"/>
      <w:r w:rsidRPr="000478B4">
        <w:rPr>
          <w:i/>
          <w:sz w:val="24"/>
          <w:szCs w:val="24"/>
          <w:lang w:val="en-US"/>
        </w:rPr>
        <w:t>Financial</w:t>
      </w:r>
      <w:proofErr w:type="gramEnd"/>
      <w:r w:rsidRPr="000478B4">
        <w:rPr>
          <w:i/>
          <w:sz w:val="24"/>
          <w:szCs w:val="24"/>
          <w:lang w:val="en-US"/>
        </w:rPr>
        <w:t xml:space="preserve"> liberalization and financial fragility:</w:t>
      </w:r>
      <w:r w:rsidRPr="000478B4">
        <w:rPr>
          <w:sz w:val="24"/>
          <w:szCs w:val="24"/>
          <w:lang w:val="en-US"/>
        </w:rPr>
        <w:t xml:space="preserve"> </w:t>
      </w:r>
      <w:r w:rsidRPr="000478B4">
        <w:rPr>
          <w:i/>
          <w:sz w:val="24"/>
          <w:szCs w:val="24"/>
          <w:lang w:val="en-US"/>
        </w:rPr>
        <w:t>Working Paper of the International Monetary Fund</w:t>
      </w:r>
      <w:r w:rsidRPr="000478B4">
        <w:rPr>
          <w:sz w:val="24"/>
          <w:szCs w:val="24"/>
          <w:lang w:val="en-US"/>
        </w:rPr>
        <w:t xml:space="preserve"> </w:t>
      </w:r>
      <w:r w:rsidRPr="000478B4">
        <w:rPr>
          <w:i/>
          <w:sz w:val="24"/>
          <w:szCs w:val="24"/>
          <w:lang w:val="en-US"/>
        </w:rPr>
        <w:t xml:space="preserve">WP 98/83, </w:t>
      </w:r>
      <w:r w:rsidRPr="000478B4">
        <w:rPr>
          <w:sz w:val="24"/>
          <w:szCs w:val="24"/>
          <w:lang w:val="en-US"/>
        </w:rPr>
        <w:t>International Monetary Fund, Washington, USA.</w:t>
      </w:r>
    </w:p>
    <w:p w:rsidR="00672BE3" w:rsidRPr="000478B4" w:rsidRDefault="00672BE3" w:rsidP="000478B4">
      <w:pPr>
        <w:numPr>
          <w:ilvl w:val="0"/>
          <w:numId w:val="1"/>
        </w:numPr>
        <w:tabs>
          <w:tab w:val="left" w:pos="284"/>
        </w:tabs>
        <w:ind w:left="0" w:firstLine="709"/>
        <w:contextualSpacing/>
        <w:rPr>
          <w:sz w:val="24"/>
          <w:szCs w:val="24"/>
          <w:lang w:val="en-US"/>
        </w:rPr>
      </w:pPr>
      <w:proofErr w:type="spellStart"/>
      <w:r w:rsidRPr="000478B4">
        <w:rPr>
          <w:sz w:val="24"/>
          <w:szCs w:val="24"/>
          <w:lang w:val="en-US"/>
        </w:rPr>
        <w:t>Belinska</w:t>
      </w:r>
      <w:proofErr w:type="spellEnd"/>
      <w:r w:rsidRPr="000478B4">
        <w:rPr>
          <w:sz w:val="24"/>
          <w:szCs w:val="24"/>
          <w:lang w:val="en-US"/>
        </w:rPr>
        <w:t xml:space="preserve">, </w:t>
      </w:r>
      <w:proofErr w:type="spellStart"/>
      <w:r w:rsidRPr="000478B4">
        <w:rPr>
          <w:sz w:val="24"/>
          <w:szCs w:val="24"/>
          <w:lang w:val="en-US"/>
        </w:rPr>
        <w:t>Ya.V</w:t>
      </w:r>
      <w:proofErr w:type="spellEnd"/>
      <w:r w:rsidRPr="000478B4">
        <w:rPr>
          <w:sz w:val="24"/>
          <w:szCs w:val="24"/>
          <w:lang w:val="en-US"/>
        </w:rPr>
        <w:t xml:space="preserve">. </w:t>
      </w:r>
      <w:proofErr w:type="gramStart"/>
      <w:r w:rsidRPr="000478B4">
        <w:rPr>
          <w:sz w:val="24"/>
          <w:szCs w:val="24"/>
          <w:lang w:val="en-US"/>
        </w:rPr>
        <w:t>and</w:t>
      </w:r>
      <w:proofErr w:type="gramEnd"/>
      <w:r w:rsidRPr="000478B4">
        <w:rPr>
          <w:sz w:val="24"/>
          <w:szCs w:val="24"/>
          <w:lang w:val="en-US"/>
        </w:rPr>
        <w:t xml:space="preserve"> </w:t>
      </w:r>
      <w:proofErr w:type="spellStart"/>
      <w:r w:rsidRPr="000478B4">
        <w:rPr>
          <w:sz w:val="24"/>
          <w:szCs w:val="24"/>
          <w:lang w:val="en-US"/>
        </w:rPr>
        <w:t>Bykhovchenko</w:t>
      </w:r>
      <w:proofErr w:type="spellEnd"/>
      <w:r w:rsidRPr="000478B4">
        <w:rPr>
          <w:sz w:val="24"/>
          <w:szCs w:val="24"/>
          <w:lang w:val="en-US"/>
        </w:rPr>
        <w:t xml:space="preserve">, V.P. (2010), “Financial stability: the essence and ways of ensuring”, </w:t>
      </w:r>
      <w:proofErr w:type="spellStart"/>
      <w:r w:rsidRPr="000478B4">
        <w:rPr>
          <w:i/>
          <w:sz w:val="24"/>
          <w:szCs w:val="24"/>
          <w:lang w:val="en-US"/>
        </w:rPr>
        <w:t>Stratehichni</w:t>
      </w:r>
      <w:proofErr w:type="spellEnd"/>
      <w:r w:rsidRPr="000478B4">
        <w:rPr>
          <w:i/>
          <w:sz w:val="24"/>
          <w:szCs w:val="24"/>
          <w:lang w:val="en-US"/>
        </w:rPr>
        <w:t xml:space="preserve"> </w:t>
      </w:r>
      <w:proofErr w:type="spellStart"/>
      <w:r w:rsidRPr="000478B4">
        <w:rPr>
          <w:i/>
          <w:sz w:val="24"/>
          <w:szCs w:val="24"/>
          <w:lang w:val="en-US"/>
        </w:rPr>
        <w:t>priorytety</w:t>
      </w:r>
      <w:proofErr w:type="spellEnd"/>
      <w:r w:rsidRPr="000478B4">
        <w:rPr>
          <w:sz w:val="24"/>
          <w:szCs w:val="24"/>
          <w:lang w:val="en-US"/>
        </w:rPr>
        <w:t>, vol. 4 (17), pp. 57-67.</w:t>
      </w:r>
    </w:p>
    <w:p w:rsidR="00672BE3" w:rsidRPr="000478B4" w:rsidRDefault="00672BE3" w:rsidP="000478B4">
      <w:pPr>
        <w:numPr>
          <w:ilvl w:val="0"/>
          <w:numId w:val="1"/>
        </w:numPr>
        <w:tabs>
          <w:tab w:val="left" w:pos="284"/>
        </w:tabs>
        <w:ind w:left="0" w:firstLine="709"/>
        <w:contextualSpacing/>
        <w:rPr>
          <w:sz w:val="24"/>
          <w:szCs w:val="24"/>
          <w:lang w:val="en-US"/>
        </w:rPr>
      </w:pPr>
      <w:proofErr w:type="spellStart"/>
      <w:r w:rsidRPr="000478B4">
        <w:rPr>
          <w:sz w:val="24"/>
          <w:szCs w:val="24"/>
          <w:lang w:val="en-US"/>
        </w:rPr>
        <w:t>Pshyk</w:t>
      </w:r>
      <w:proofErr w:type="spellEnd"/>
      <w:r w:rsidRPr="000478B4">
        <w:rPr>
          <w:sz w:val="24"/>
          <w:szCs w:val="24"/>
          <w:lang w:val="en-US"/>
        </w:rPr>
        <w:t xml:space="preserve">, B.I. (2013), “Financial stability: the essence and features of manifestation”, </w:t>
      </w:r>
      <w:proofErr w:type="spellStart"/>
      <w:r w:rsidRPr="000478B4">
        <w:rPr>
          <w:i/>
          <w:sz w:val="24"/>
          <w:szCs w:val="24"/>
          <w:lang w:val="en-US"/>
        </w:rPr>
        <w:t>Visnyk</w:t>
      </w:r>
      <w:proofErr w:type="spellEnd"/>
      <w:r w:rsidRPr="000478B4">
        <w:rPr>
          <w:i/>
          <w:sz w:val="24"/>
          <w:szCs w:val="24"/>
          <w:lang w:val="en-US"/>
        </w:rPr>
        <w:t xml:space="preserve"> </w:t>
      </w:r>
      <w:proofErr w:type="spellStart"/>
      <w:r w:rsidRPr="000478B4">
        <w:rPr>
          <w:i/>
          <w:sz w:val="24"/>
          <w:szCs w:val="24"/>
          <w:lang w:val="en-US"/>
        </w:rPr>
        <w:t>SevNTU</w:t>
      </w:r>
      <w:proofErr w:type="spellEnd"/>
      <w:r w:rsidRPr="000478B4">
        <w:rPr>
          <w:i/>
          <w:sz w:val="24"/>
          <w:szCs w:val="24"/>
          <w:lang w:val="en-US"/>
        </w:rPr>
        <w:t xml:space="preserve">: </w:t>
      </w:r>
      <w:proofErr w:type="spellStart"/>
      <w:r w:rsidRPr="000478B4">
        <w:rPr>
          <w:i/>
          <w:sz w:val="24"/>
          <w:szCs w:val="24"/>
          <w:lang w:val="en-US"/>
        </w:rPr>
        <w:t>Seriia</w:t>
      </w:r>
      <w:proofErr w:type="spellEnd"/>
      <w:r w:rsidRPr="000478B4">
        <w:rPr>
          <w:i/>
          <w:sz w:val="24"/>
          <w:szCs w:val="24"/>
          <w:lang w:val="en-US"/>
        </w:rPr>
        <w:t xml:space="preserve">: </w:t>
      </w:r>
      <w:proofErr w:type="spellStart"/>
      <w:r w:rsidRPr="000478B4">
        <w:rPr>
          <w:i/>
          <w:sz w:val="24"/>
          <w:szCs w:val="24"/>
          <w:lang w:val="en-US"/>
        </w:rPr>
        <w:t>Ekonomika</w:t>
      </w:r>
      <w:proofErr w:type="spellEnd"/>
      <w:r w:rsidRPr="000478B4">
        <w:rPr>
          <w:i/>
          <w:sz w:val="24"/>
          <w:szCs w:val="24"/>
          <w:lang w:val="en-US"/>
        </w:rPr>
        <w:t xml:space="preserve"> </w:t>
      </w:r>
      <w:proofErr w:type="spellStart"/>
      <w:r w:rsidRPr="000478B4">
        <w:rPr>
          <w:i/>
          <w:sz w:val="24"/>
          <w:szCs w:val="24"/>
          <w:lang w:val="en-US"/>
        </w:rPr>
        <w:t>i</w:t>
      </w:r>
      <w:proofErr w:type="spellEnd"/>
      <w:r w:rsidRPr="000478B4">
        <w:rPr>
          <w:i/>
          <w:sz w:val="24"/>
          <w:szCs w:val="24"/>
          <w:lang w:val="en-US"/>
        </w:rPr>
        <w:t xml:space="preserve"> </w:t>
      </w:r>
      <w:proofErr w:type="spellStart"/>
      <w:r w:rsidRPr="000478B4">
        <w:rPr>
          <w:i/>
          <w:sz w:val="24"/>
          <w:szCs w:val="24"/>
          <w:lang w:val="en-US"/>
        </w:rPr>
        <w:t>finansy</w:t>
      </w:r>
      <w:proofErr w:type="spellEnd"/>
      <w:r w:rsidRPr="000478B4">
        <w:rPr>
          <w:i/>
          <w:sz w:val="24"/>
          <w:szCs w:val="24"/>
          <w:lang w:val="en-US"/>
        </w:rPr>
        <w:t>,</w:t>
      </w:r>
      <w:r w:rsidRPr="000478B4">
        <w:rPr>
          <w:sz w:val="24"/>
          <w:szCs w:val="24"/>
          <w:lang w:val="en-US"/>
        </w:rPr>
        <w:t xml:space="preserve"> vol. 138, pp. 91-96.</w:t>
      </w:r>
    </w:p>
    <w:p w:rsidR="00672BE3" w:rsidRPr="000478B4" w:rsidRDefault="00672BE3" w:rsidP="000478B4">
      <w:pPr>
        <w:numPr>
          <w:ilvl w:val="0"/>
          <w:numId w:val="1"/>
        </w:numPr>
        <w:tabs>
          <w:tab w:val="left" w:pos="284"/>
        </w:tabs>
        <w:ind w:left="0" w:firstLine="709"/>
        <w:contextualSpacing/>
        <w:rPr>
          <w:sz w:val="24"/>
          <w:szCs w:val="24"/>
          <w:lang w:val="en-US"/>
        </w:rPr>
      </w:pPr>
      <w:proofErr w:type="spellStart"/>
      <w:r w:rsidRPr="000478B4">
        <w:rPr>
          <w:sz w:val="24"/>
          <w:szCs w:val="24"/>
          <w:lang w:val="en-US"/>
        </w:rPr>
        <w:t>Pohorelenko</w:t>
      </w:r>
      <w:proofErr w:type="spellEnd"/>
      <w:r w:rsidRPr="000478B4">
        <w:rPr>
          <w:sz w:val="24"/>
          <w:szCs w:val="24"/>
          <w:lang w:val="en-US"/>
        </w:rPr>
        <w:t xml:space="preserve">, N.P. and </w:t>
      </w:r>
      <w:proofErr w:type="spellStart"/>
      <w:r w:rsidRPr="000478B4">
        <w:rPr>
          <w:sz w:val="24"/>
          <w:szCs w:val="24"/>
          <w:lang w:val="en-US"/>
        </w:rPr>
        <w:t>Sydorenko</w:t>
      </w:r>
      <w:proofErr w:type="spellEnd"/>
      <w:r w:rsidRPr="000478B4">
        <w:rPr>
          <w:sz w:val="24"/>
          <w:szCs w:val="24"/>
          <w:lang w:val="en-US"/>
        </w:rPr>
        <w:t xml:space="preserve">, O.M. (2011), “Monitoring the financial stability of the banking sector”, </w:t>
      </w:r>
      <w:proofErr w:type="spellStart"/>
      <w:r w:rsidRPr="000478B4">
        <w:rPr>
          <w:i/>
          <w:sz w:val="24"/>
          <w:szCs w:val="24"/>
          <w:lang w:val="en-US"/>
        </w:rPr>
        <w:t>Finansovo-kredytna</w:t>
      </w:r>
      <w:proofErr w:type="spellEnd"/>
      <w:r w:rsidRPr="000478B4">
        <w:rPr>
          <w:i/>
          <w:sz w:val="24"/>
          <w:szCs w:val="24"/>
          <w:lang w:val="en-US"/>
        </w:rPr>
        <w:t xml:space="preserve"> </w:t>
      </w:r>
      <w:proofErr w:type="spellStart"/>
      <w:r w:rsidRPr="000478B4">
        <w:rPr>
          <w:i/>
          <w:sz w:val="24"/>
          <w:szCs w:val="24"/>
          <w:lang w:val="en-US"/>
        </w:rPr>
        <w:t>diialnist</w:t>
      </w:r>
      <w:proofErr w:type="spellEnd"/>
      <w:r w:rsidRPr="000478B4">
        <w:rPr>
          <w:i/>
          <w:sz w:val="24"/>
          <w:szCs w:val="24"/>
          <w:lang w:val="en-US"/>
        </w:rPr>
        <w:t xml:space="preserve">: </w:t>
      </w:r>
      <w:proofErr w:type="spellStart"/>
      <w:r w:rsidRPr="000478B4">
        <w:rPr>
          <w:i/>
          <w:sz w:val="24"/>
          <w:szCs w:val="24"/>
          <w:lang w:val="en-US"/>
        </w:rPr>
        <w:t>problemy</w:t>
      </w:r>
      <w:proofErr w:type="spellEnd"/>
      <w:r w:rsidRPr="000478B4">
        <w:rPr>
          <w:i/>
          <w:sz w:val="24"/>
          <w:szCs w:val="24"/>
          <w:lang w:val="en-US"/>
        </w:rPr>
        <w:t xml:space="preserve"> </w:t>
      </w:r>
      <w:proofErr w:type="spellStart"/>
      <w:r w:rsidRPr="000478B4">
        <w:rPr>
          <w:i/>
          <w:sz w:val="24"/>
          <w:szCs w:val="24"/>
          <w:lang w:val="en-US"/>
        </w:rPr>
        <w:t>teorii</w:t>
      </w:r>
      <w:proofErr w:type="spellEnd"/>
      <w:r w:rsidRPr="000478B4">
        <w:rPr>
          <w:i/>
          <w:sz w:val="24"/>
          <w:szCs w:val="24"/>
          <w:lang w:val="en-US"/>
        </w:rPr>
        <w:t xml:space="preserve"> </w:t>
      </w:r>
      <w:proofErr w:type="spellStart"/>
      <w:r w:rsidRPr="000478B4">
        <w:rPr>
          <w:i/>
          <w:sz w:val="24"/>
          <w:szCs w:val="24"/>
          <w:lang w:val="en-US"/>
        </w:rPr>
        <w:t>i</w:t>
      </w:r>
      <w:proofErr w:type="spellEnd"/>
      <w:r w:rsidRPr="000478B4">
        <w:rPr>
          <w:i/>
          <w:sz w:val="24"/>
          <w:szCs w:val="24"/>
          <w:lang w:val="en-US"/>
        </w:rPr>
        <w:t xml:space="preserve"> </w:t>
      </w:r>
      <w:proofErr w:type="spellStart"/>
      <w:r w:rsidRPr="000478B4">
        <w:rPr>
          <w:i/>
          <w:sz w:val="24"/>
          <w:szCs w:val="24"/>
          <w:lang w:val="en-US"/>
        </w:rPr>
        <w:t>praktyk</w:t>
      </w:r>
      <w:r w:rsidRPr="000478B4">
        <w:rPr>
          <w:sz w:val="24"/>
          <w:szCs w:val="24"/>
          <w:lang w:val="en-US"/>
        </w:rPr>
        <w:t>y</w:t>
      </w:r>
      <w:proofErr w:type="spellEnd"/>
      <w:r w:rsidRPr="000478B4">
        <w:rPr>
          <w:sz w:val="24"/>
          <w:szCs w:val="24"/>
          <w:lang w:val="en-US"/>
        </w:rPr>
        <w:t>, vol. 1(10), part ІІ, pp. 61-68.</w:t>
      </w:r>
    </w:p>
    <w:p w:rsidR="00672BE3" w:rsidRPr="000478B4" w:rsidRDefault="00672BE3" w:rsidP="000478B4">
      <w:pPr>
        <w:numPr>
          <w:ilvl w:val="0"/>
          <w:numId w:val="1"/>
        </w:numPr>
        <w:tabs>
          <w:tab w:val="left" w:pos="284"/>
        </w:tabs>
        <w:ind w:left="0" w:firstLine="709"/>
        <w:contextualSpacing/>
        <w:rPr>
          <w:sz w:val="24"/>
          <w:szCs w:val="24"/>
          <w:lang w:val="en-US"/>
        </w:rPr>
      </w:pPr>
      <w:r w:rsidRPr="000478B4">
        <w:rPr>
          <w:sz w:val="24"/>
          <w:szCs w:val="24"/>
          <w:lang w:val="en-US"/>
        </w:rPr>
        <w:t xml:space="preserve">  </w:t>
      </w:r>
      <w:proofErr w:type="spellStart"/>
      <w:r w:rsidRPr="000478B4">
        <w:rPr>
          <w:sz w:val="24"/>
          <w:szCs w:val="24"/>
          <w:lang w:val="en-US"/>
        </w:rPr>
        <w:t>Kolodiziev</w:t>
      </w:r>
      <w:proofErr w:type="spellEnd"/>
      <w:r w:rsidRPr="000478B4">
        <w:rPr>
          <w:sz w:val="24"/>
          <w:szCs w:val="24"/>
          <w:lang w:val="en-US"/>
        </w:rPr>
        <w:t xml:space="preserve">, O.M. and </w:t>
      </w:r>
      <w:proofErr w:type="spellStart"/>
      <w:r w:rsidRPr="000478B4">
        <w:rPr>
          <w:sz w:val="24"/>
          <w:szCs w:val="24"/>
          <w:lang w:val="en-US"/>
        </w:rPr>
        <w:t>Lesyk</w:t>
      </w:r>
      <w:proofErr w:type="spellEnd"/>
      <w:r w:rsidRPr="000478B4">
        <w:rPr>
          <w:sz w:val="24"/>
          <w:szCs w:val="24"/>
          <w:lang w:val="en-US"/>
        </w:rPr>
        <w:t xml:space="preserve">, V.O. (2012), “Ensuring the stability of the banking system based on improving the efficiency of capitalization management of domestic banks”, </w:t>
      </w:r>
      <w:proofErr w:type="spellStart"/>
      <w:r w:rsidRPr="000478B4">
        <w:rPr>
          <w:i/>
          <w:sz w:val="24"/>
          <w:szCs w:val="24"/>
          <w:lang w:val="en-US"/>
        </w:rPr>
        <w:t>Visnyk</w:t>
      </w:r>
      <w:proofErr w:type="spellEnd"/>
      <w:r w:rsidRPr="000478B4">
        <w:rPr>
          <w:i/>
          <w:sz w:val="24"/>
          <w:szCs w:val="24"/>
          <w:lang w:val="en-US"/>
        </w:rPr>
        <w:t xml:space="preserve"> </w:t>
      </w:r>
      <w:proofErr w:type="spellStart"/>
      <w:r w:rsidRPr="000478B4">
        <w:rPr>
          <w:i/>
          <w:sz w:val="24"/>
          <w:szCs w:val="24"/>
          <w:lang w:val="en-US"/>
        </w:rPr>
        <w:t>Ukrainskoi</w:t>
      </w:r>
      <w:proofErr w:type="spellEnd"/>
      <w:r w:rsidRPr="000478B4">
        <w:rPr>
          <w:i/>
          <w:sz w:val="24"/>
          <w:szCs w:val="24"/>
          <w:lang w:val="en-US"/>
        </w:rPr>
        <w:t xml:space="preserve"> </w:t>
      </w:r>
      <w:proofErr w:type="spellStart"/>
      <w:r w:rsidRPr="000478B4">
        <w:rPr>
          <w:i/>
          <w:sz w:val="24"/>
          <w:szCs w:val="24"/>
          <w:lang w:val="en-US"/>
        </w:rPr>
        <w:t>akademii</w:t>
      </w:r>
      <w:proofErr w:type="spellEnd"/>
      <w:r w:rsidRPr="000478B4">
        <w:rPr>
          <w:i/>
          <w:sz w:val="24"/>
          <w:szCs w:val="24"/>
          <w:lang w:val="en-US"/>
        </w:rPr>
        <w:t xml:space="preserve"> </w:t>
      </w:r>
      <w:proofErr w:type="spellStart"/>
      <w:r w:rsidRPr="000478B4">
        <w:rPr>
          <w:i/>
          <w:sz w:val="24"/>
          <w:szCs w:val="24"/>
          <w:lang w:val="en-US"/>
        </w:rPr>
        <w:t>bankivskoi</w:t>
      </w:r>
      <w:proofErr w:type="spellEnd"/>
      <w:r w:rsidRPr="000478B4">
        <w:rPr>
          <w:i/>
          <w:sz w:val="24"/>
          <w:szCs w:val="24"/>
          <w:lang w:val="en-US"/>
        </w:rPr>
        <w:t xml:space="preserve"> </w:t>
      </w:r>
      <w:proofErr w:type="spellStart"/>
      <w:r w:rsidRPr="000478B4">
        <w:rPr>
          <w:i/>
          <w:sz w:val="24"/>
          <w:szCs w:val="24"/>
          <w:lang w:val="en-US"/>
        </w:rPr>
        <w:t>spravy</w:t>
      </w:r>
      <w:proofErr w:type="spellEnd"/>
      <w:r w:rsidRPr="000478B4">
        <w:rPr>
          <w:sz w:val="24"/>
          <w:szCs w:val="24"/>
          <w:lang w:val="en-US"/>
        </w:rPr>
        <w:t>, vol. 1, pp. 42-51.</w:t>
      </w:r>
    </w:p>
    <w:p w:rsidR="00672BE3" w:rsidRPr="000478B4" w:rsidRDefault="00672BE3" w:rsidP="000478B4">
      <w:pPr>
        <w:numPr>
          <w:ilvl w:val="0"/>
          <w:numId w:val="1"/>
        </w:numPr>
        <w:tabs>
          <w:tab w:val="left" w:pos="284"/>
        </w:tabs>
        <w:ind w:left="0" w:firstLine="709"/>
        <w:contextualSpacing/>
        <w:rPr>
          <w:sz w:val="24"/>
          <w:szCs w:val="24"/>
          <w:lang w:val="en-US"/>
        </w:rPr>
      </w:pPr>
      <w:proofErr w:type="spellStart"/>
      <w:r w:rsidRPr="000478B4">
        <w:rPr>
          <w:sz w:val="24"/>
          <w:szCs w:val="24"/>
          <w:lang w:val="en-US"/>
        </w:rPr>
        <w:t>Azarenkova</w:t>
      </w:r>
      <w:proofErr w:type="spellEnd"/>
      <w:r w:rsidRPr="000478B4">
        <w:rPr>
          <w:sz w:val="24"/>
          <w:szCs w:val="24"/>
          <w:lang w:val="en-US"/>
        </w:rPr>
        <w:t xml:space="preserve">, H.M., </w:t>
      </w:r>
      <w:proofErr w:type="spellStart"/>
      <w:r w:rsidRPr="000478B4">
        <w:rPr>
          <w:sz w:val="24"/>
          <w:szCs w:val="24"/>
          <w:lang w:val="en-US"/>
        </w:rPr>
        <w:t>Holovko</w:t>
      </w:r>
      <w:proofErr w:type="spellEnd"/>
      <w:r w:rsidRPr="000478B4">
        <w:rPr>
          <w:sz w:val="24"/>
          <w:szCs w:val="24"/>
          <w:lang w:val="en-US"/>
        </w:rPr>
        <w:t xml:space="preserve">, O.H. and </w:t>
      </w:r>
      <w:proofErr w:type="spellStart"/>
      <w:r w:rsidRPr="000478B4">
        <w:rPr>
          <w:sz w:val="24"/>
          <w:szCs w:val="24"/>
          <w:lang w:val="en-US"/>
        </w:rPr>
        <w:t>Smyrnov</w:t>
      </w:r>
      <w:proofErr w:type="spellEnd"/>
      <w:r w:rsidRPr="000478B4">
        <w:rPr>
          <w:sz w:val="24"/>
          <w:szCs w:val="24"/>
          <w:lang w:val="en-US"/>
        </w:rPr>
        <w:t xml:space="preserve"> V.V. (2011), </w:t>
      </w:r>
      <w:proofErr w:type="spellStart"/>
      <w:r w:rsidRPr="000478B4">
        <w:rPr>
          <w:i/>
          <w:sz w:val="24"/>
          <w:szCs w:val="24"/>
          <w:lang w:val="en-US"/>
        </w:rPr>
        <w:t>Finansova</w:t>
      </w:r>
      <w:proofErr w:type="spellEnd"/>
      <w:r w:rsidRPr="000478B4">
        <w:rPr>
          <w:i/>
          <w:sz w:val="24"/>
          <w:szCs w:val="24"/>
          <w:lang w:val="en-US"/>
        </w:rPr>
        <w:t xml:space="preserve"> </w:t>
      </w:r>
      <w:proofErr w:type="spellStart"/>
      <w:r w:rsidRPr="000478B4">
        <w:rPr>
          <w:i/>
          <w:sz w:val="24"/>
          <w:szCs w:val="24"/>
          <w:lang w:val="en-US"/>
        </w:rPr>
        <w:t>stabilnist</w:t>
      </w:r>
      <w:proofErr w:type="spellEnd"/>
      <w:r w:rsidRPr="000478B4">
        <w:rPr>
          <w:i/>
          <w:sz w:val="24"/>
          <w:szCs w:val="24"/>
          <w:lang w:val="en-US"/>
        </w:rPr>
        <w:t xml:space="preserve"> </w:t>
      </w:r>
      <w:proofErr w:type="spellStart"/>
      <w:r w:rsidRPr="000478B4">
        <w:rPr>
          <w:i/>
          <w:sz w:val="24"/>
          <w:szCs w:val="24"/>
          <w:lang w:val="en-US"/>
        </w:rPr>
        <w:t>rozvytku</w:t>
      </w:r>
      <w:proofErr w:type="spellEnd"/>
      <w:r w:rsidRPr="000478B4">
        <w:rPr>
          <w:i/>
          <w:sz w:val="24"/>
          <w:szCs w:val="24"/>
          <w:lang w:val="en-US"/>
        </w:rPr>
        <w:t xml:space="preserve"> </w:t>
      </w:r>
      <w:proofErr w:type="spellStart"/>
      <w:r w:rsidRPr="000478B4">
        <w:rPr>
          <w:i/>
          <w:sz w:val="24"/>
          <w:szCs w:val="24"/>
          <w:lang w:val="en-US"/>
        </w:rPr>
        <w:t>bankiv</w:t>
      </w:r>
      <w:proofErr w:type="spellEnd"/>
      <w:r w:rsidRPr="000478B4">
        <w:rPr>
          <w:sz w:val="24"/>
          <w:szCs w:val="24"/>
          <w:lang w:val="en-US"/>
        </w:rPr>
        <w:t xml:space="preserve"> [Financial stability of banks’ development], UBS NBU, Kyiv, Ukraine.</w:t>
      </w:r>
    </w:p>
    <w:p w:rsidR="00672BE3" w:rsidRPr="000478B4" w:rsidRDefault="00672BE3" w:rsidP="000478B4">
      <w:pPr>
        <w:numPr>
          <w:ilvl w:val="0"/>
          <w:numId w:val="1"/>
        </w:numPr>
        <w:tabs>
          <w:tab w:val="left" w:pos="284"/>
        </w:tabs>
        <w:ind w:left="0" w:firstLine="709"/>
        <w:contextualSpacing/>
        <w:rPr>
          <w:sz w:val="24"/>
          <w:szCs w:val="24"/>
          <w:lang w:val="en-US"/>
        </w:rPr>
      </w:pPr>
      <w:proofErr w:type="spellStart"/>
      <w:r w:rsidRPr="000478B4">
        <w:rPr>
          <w:sz w:val="24"/>
          <w:szCs w:val="24"/>
          <w:lang w:val="en-US"/>
        </w:rPr>
        <w:t>Khutorna</w:t>
      </w:r>
      <w:proofErr w:type="spellEnd"/>
      <w:r w:rsidRPr="000478B4">
        <w:rPr>
          <w:sz w:val="24"/>
          <w:szCs w:val="24"/>
          <w:lang w:val="en-US"/>
        </w:rPr>
        <w:t xml:space="preserve">, M.E. (2017), “Principles of ensuring the financial stability of credit institutions”, </w:t>
      </w:r>
      <w:r w:rsidRPr="000478B4">
        <w:rPr>
          <w:i/>
          <w:sz w:val="24"/>
          <w:szCs w:val="24"/>
          <w:lang w:val="en-US"/>
        </w:rPr>
        <w:t>Financial space</w:t>
      </w:r>
      <w:r w:rsidRPr="000478B4">
        <w:rPr>
          <w:sz w:val="24"/>
          <w:szCs w:val="24"/>
          <w:lang w:val="en-US"/>
        </w:rPr>
        <w:t>, vol. 3, pp. 55-61, available at: https://fp.cibs.ubs.edu.ua/index.php/fp/article/view/528/526 (Accessed 22 October 2020).</w:t>
      </w:r>
    </w:p>
    <w:p w:rsidR="00672BE3" w:rsidRPr="000478B4" w:rsidRDefault="00672BE3" w:rsidP="000478B4">
      <w:pPr>
        <w:numPr>
          <w:ilvl w:val="0"/>
          <w:numId w:val="1"/>
        </w:numPr>
        <w:tabs>
          <w:tab w:val="left" w:pos="284"/>
        </w:tabs>
        <w:ind w:left="0" w:firstLine="709"/>
        <w:contextualSpacing/>
        <w:rPr>
          <w:sz w:val="24"/>
          <w:szCs w:val="24"/>
          <w:lang w:val="en-US"/>
        </w:rPr>
      </w:pPr>
      <w:proofErr w:type="spellStart"/>
      <w:r w:rsidRPr="000478B4">
        <w:rPr>
          <w:sz w:val="24"/>
          <w:szCs w:val="24"/>
          <w:lang w:val="en-US"/>
        </w:rPr>
        <w:t>Vovchenko</w:t>
      </w:r>
      <w:proofErr w:type="spellEnd"/>
      <w:r w:rsidRPr="000478B4">
        <w:rPr>
          <w:sz w:val="24"/>
          <w:szCs w:val="24"/>
          <w:lang w:val="en-US"/>
        </w:rPr>
        <w:t xml:space="preserve">, O.S. (2010), “Theoretical aspects of defining a modern bank”, </w:t>
      </w:r>
      <w:proofErr w:type="spellStart"/>
      <w:r w:rsidRPr="000478B4">
        <w:rPr>
          <w:i/>
          <w:sz w:val="24"/>
          <w:szCs w:val="24"/>
          <w:lang w:val="en-US"/>
        </w:rPr>
        <w:t>Ekonomika</w:t>
      </w:r>
      <w:proofErr w:type="spellEnd"/>
      <w:r w:rsidRPr="000478B4">
        <w:rPr>
          <w:i/>
          <w:sz w:val="24"/>
          <w:szCs w:val="24"/>
          <w:lang w:val="en-US"/>
        </w:rPr>
        <w:t xml:space="preserve"> ta </w:t>
      </w:r>
      <w:proofErr w:type="spellStart"/>
      <w:r w:rsidRPr="000478B4">
        <w:rPr>
          <w:i/>
          <w:sz w:val="24"/>
          <w:szCs w:val="24"/>
          <w:lang w:val="en-US"/>
        </w:rPr>
        <w:t>derzhava</w:t>
      </w:r>
      <w:proofErr w:type="spellEnd"/>
      <w:r w:rsidRPr="000478B4">
        <w:rPr>
          <w:sz w:val="24"/>
          <w:szCs w:val="24"/>
          <w:lang w:val="en-US"/>
        </w:rPr>
        <w:t>, vol. 4, pp. 85–87.</w:t>
      </w:r>
    </w:p>
    <w:p w:rsidR="00672BE3" w:rsidRPr="000478B4" w:rsidRDefault="00672BE3" w:rsidP="000478B4">
      <w:pPr>
        <w:numPr>
          <w:ilvl w:val="0"/>
          <w:numId w:val="1"/>
        </w:numPr>
        <w:tabs>
          <w:tab w:val="left" w:pos="284"/>
        </w:tabs>
        <w:ind w:left="0" w:firstLine="709"/>
        <w:contextualSpacing/>
        <w:rPr>
          <w:sz w:val="24"/>
          <w:szCs w:val="24"/>
          <w:lang w:val="en-US"/>
        </w:rPr>
      </w:pPr>
      <w:r w:rsidRPr="000478B4">
        <w:rPr>
          <w:sz w:val="24"/>
          <w:szCs w:val="24"/>
          <w:lang w:val="en-US"/>
        </w:rPr>
        <w:t xml:space="preserve">National Bank of Ukraine (2020), “The main indicators of the banks of Ukraine. Data from supervisory statistics”, available at: </w:t>
      </w:r>
      <w:hyperlink r:id="rId13" w:history="1">
        <w:r w:rsidR="00BE4DDC" w:rsidRPr="000478B4">
          <w:rPr>
            <w:sz w:val="24"/>
            <w:szCs w:val="24"/>
            <w:lang w:val="en-US"/>
          </w:rPr>
          <w:t>https://bank.gov.ua/ua/statistic/supervision-statist/data-supervision</w:t>
        </w:r>
      </w:hyperlink>
      <w:r w:rsidR="00BE4DDC" w:rsidRPr="000478B4">
        <w:rPr>
          <w:sz w:val="24"/>
          <w:szCs w:val="24"/>
          <w:lang w:val="en-US"/>
        </w:rPr>
        <w:t xml:space="preserve"> </w:t>
      </w:r>
      <w:r w:rsidRPr="000478B4">
        <w:rPr>
          <w:sz w:val="24"/>
          <w:szCs w:val="24"/>
          <w:lang w:val="en-US"/>
        </w:rPr>
        <w:t>(Accessed 25 October 2020).</w:t>
      </w:r>
    </w:p>
    <w:p w:rsidR="00672BE3" w:rsidRPr="000478B4" w:rsidRDefault="00672BE3" w:rsidP="000478B4">
      <w:pPr>
        <w:numPr>
          <w:ilvl w:val="0"/>
          <w:numId w:val="1"/>
        </w:numPr>
        <w:tabs>
          <w:tab w:val="left" w:pos="284"/>
        </w:tabs>
        <w:ind w:left="0" w:firstLine="709"/>
        <w:contextualSpacing/>
        <w:rPr>
          <w:sz w:val="24"/>
          <w:szCs w:val="24"/>
          <w:lang w:val="en-US"/>
        </w:rPr>
      </w:pPr>
      <w:r w:rsidRPr="000478B4">
        <w:rPr>
          <w:sz w:val="24"/>
          <w:szCs w:val="24"/>
          <w:lang w:val="en-US"/>
        </w:rPr>
        <w:t xml:space="preserve">World Bank (2020), “The World Bank Group Data Catalog “Bank Z-score”. Global Financial Development”, available at: </w:t>
      </w:r>
      <w:hyperlink r:id="rId14" w:history="1">
        <w:r w:rsidR="00BE4DDC" w:rsidRPr="000478B4">
          <w:rPr>
            <w:sz w:val="24"/>
            <w:szCs w:val="24"/>
            <w:lang w:val="en-US"/>
          </w:rPr>
          <w:t>https://databank.worldbank.org/reports.aspx?source=1250&amp;series=GFDD.SI.01</w:t>
        </w:r>
      </w:hyperlink>
      <w:r w:rsidR="00BE4DDC" w:rsidRPr="000478B4">
        <w:rPr>
          <w:sz w:val="24"/>
          <w:szCs w:val="24"/>
          <w:lang w:val="en-US"/>
        </w:rPr>
        <w:t xml:space="preserve"> </w:t>
      </w:r>
      <w:r w:rsidRPr="000478B4">
        <w:rPr>
          <w:sz w:val="24"/>
          <w:szCs w:val="24"/>
          <w:lang w:val="en-US"/>
        </w:rPr>
        <w:t>(Accessed 22 October 2020).</w:t>
      </w:r>
    </w:p>
    <w:p w:rsidR="00672BE3" w:rsidRPr="000478B4" w:rsidRDefault="00672BE3" w:rsidP="000478B4">
      <w:pPr>
        <w:numPr>
          <w:ilvl w:val="0"/>
          <w:numId w:val="1"/>
        </w:numPr>
        <w:tabs>
          <w:tab w:val="left" w:pos="284"/>
        </w:tabs>
        <w:ind w:left="0" w:firstLine="709"/>
        <w:contextualSpacing/>
        <w:rPr>
          <w:sz w:val="24"/>
          <w:szCs w:val="24"/>
          <w:lang w:val="en-US"/>
        </w:rPr>
      </w:pPr>
      <w:proofErr w:type="spellStart"/>
      <w:r w:rsidRPr="000478B4">
        <w:rPr>
          <w:sz w:val="24"/>
          <w:szCs w:val="24"/>
          <w:lang w:val="en-US"/>
        </w:rPr>
        <w:t>Hirna</w:t>
      </w:r>
      <w:proofErr w:type="spellEnd"/>
      <w:r w:rsidRPr="000478B4">
        <w:rPr>
          <w:sz w:val="24"/>
          <w:szCs w:val="24"/>
          <w:lang w:val="en-US"/>
        </w:rPr>
        <w:t xml:space="preserve">, O. </w:t>
      </w:r>
      <w:r w:rsidR="00A0233F" w:rsidRPr="000478B4">
        <w:rPr>
          <w:sz w:val="24"/>
          <w:szCs w:val="24"/>
          <w:lang w:val="en-US"/>
        </w:rPr>
        <w:t>Yu</w:t>
      </w:r>
      <w:r w:rsidRPr="000478B4">
        <w:rPr>
          <w:sz w:val="24"/>
          <w:szCs w:val="24"/>
          <w:lang w:val="en-US"/>
        </w:rPr>
        <w:t xml:space="preserve">. (2018), “Assessment of the level of financial stability of the banking sector of Ukraine based on the Z-index”, </w:t>
      </w:r>
      <w:proofErr w:type="spellStart"/>
      <w:r w:rsidRPr="000478B4">
        <w:rPr>
          <w:i/>
          <w:sz w:val="24"/>
          <w:szCs w:val="24"/>
          <w:lang w:val="en-US"/>
        </w:rPr>
        <w:t>Visnyk</w:t>
      </w:r>
      <w:proofErr w:type="spellEnd"/>
      <w:r w:rsidRPr="000478B4">
        <w:rPr>
          <w:i/>
          <w:sz w:val="24"/>
          <w:szCs w:val="24"/>
          <w:lang w:val="en-US"/>
        </w:rPr>
        <w:t xml:space="preserve"> </w:t>
      </w:r>
      <w:proofErr w:type="spellStart"/>
      <w:r w:rsidRPr="000478B4">
        <w:rPr>
          <w:i/>
          <w:sz w:val="24"/>
          <w:szCs w:val="24"/>
          <w:lang w:val="en-US"/>
        </w:rPr>
        <w:t>Universytetu</w:t>
      </w:r>
      <w:proofErr w:type="spellEnd"/>
      <w:r w:rsidRPr="000478B4">
        <w:rPr>
          <w:i/>
          <w:sz w:val="24"/>
          <w:szCs w:val="24"/>
          <w:lang w:val="en-US"/>
        </w:rPr>
        <w:t xml:space="preserve"> </w:t>
      </w:r>
      <w:proofErr w:type="spellStart"/>
      <w:r w:rsidRPr="000478B4">
        <w:rPr>
          <w:i/>
          <w:sz w:val="24"/>
          <w:szCs w:val="24"/>
          <w:lang w:val="en-US"/>
        </w:rPr>
        <w:t>bankivskoi</w:t>
      </w:r>
      <w:proofErr w:type="spellEnd"/>
      <w:r w:rsidRPr="000478B4">
        <w:rPr>
          <w:i/>
          <w:sz w:val="24"/>
          <w:szCs w:val="24"/>
          <w:lang w:val="en-US"/>
        </w:rPr>
        <w:t xml:space="preserve"> </w:t>
      </w:r>
      <w:proofErr w:type="spellStart"/>
      <w:r w:rsidRPr="000478B4">
        <w:rPr>
          <w:i/>
          <w:sz w:val="24"/>
          <w:szCs w:val="24"/>
          <w:lang w:val="en-US"/>
        </w:rPr>
        <w:t>spravy</w:t>
      </w:r>
      <w:proofErr w:type="spellEnd"/>
      <w:r w:rsidRPr="000478B4">
        <w:rPr>
          <w:sz w:val="24"/>
          <w:szCs w:val="24"/>
          <w:lang w:val="en-US"/>
        </w:rPr>
        <w:t xml:space="preserve">, vol. 3, pp. 150-158. </w:t>
      </w:r>
    </w:p>
    <w:p w:rsidR="00672BE3" w:rsidRPr="000478B4" w:rsidRDefault="00672BE3" w:rsidP="000478B4">
      <w:pPr>
        <w:numPr>
          <w:ilvl w:val="0"/>
          <w:numId w:val="1"/>
        </w:numPr>
        <w:tabs>
          <w:tab w:val="left" w:pos="284"/>
        </w:tabs>
        <w:ind w:left="0" w:firstLine="709"/>
        <w:contextualSpacing/>
        <w:rPr>
          <w:sz w:val="24"/>
          <w:szCs w:val="24"/>
          <w:lang w:val="en-US"/>
        </w:rPr>
      </w:pPr>
      <w:proofErr w:type="spellStart"/>
      <w:r w:rsidRPr="000478B4">
        <w:rPr>
          <w:sz w:val="24"/>
          <w:szCs w:val="24"/>
          <w:lang w:val="en-US"/>
        </w:rPr>
        <w:t>Kovalenko</w:t>
      </w:r>
      <w:proofErr w:type="spellEnd"/>
      <w:r w:rsidRPr="000478B4">
        <w:rPr>
          <w:sz w:val="24"/>
          <w:szCs w:val="24"/>
          <w:lang w:val="en-US"/>
        </w:rPr>
        <w:t xml:space="preserve">, V. V. and </w:t>
      </w:r>
      <w:proofErr w:type="spellStart"/>
      <w:r w:rsidRPr="000478B4">
        <w:rPr>
          <w:sz w:val="24"/>
          <w:szCs w:val="24"/>
          <w:lang w:val="en-US"/>
        </w:rPr>
        <w:t>Radova</w:t>
      </w:r>
      <w:proofErr w:type="spellEnd"/>
      <w:r w:rsidRPr="000478B4">
        <w:rPr>
          <w:sz w:val="24"/>
          <w:szCs w:val="24"/>
          <w:lang w:val="en-US"/>
        </w:rPr>
        <w:t xml:space="preserve">, N. V. (2019), “Monitoring the financial stability of the banking system of Ukraine”, </w:t>
      </w:r>
      <w:proofErr w:type="spellStart"/>
      <w:r w:rsidRPr="000478B4">
        <w:rPr>
          <w:i/>
          <w:sz w:val="24"/>
          <w:szCs w:val="24"/>
          <w:lang w:val="en-US"/>
        </w:rPr>
        <w:t>Skhidna</w:t>
      </w:r>
      <w:proofErr w:type="spellEnd"/>
      <w:r w:rsidRPr="000478B4">
        <w:rPr>
          <w:i/>
          <w:sz w:val="24"/>
          <w:szCs w:val="24"/>
          <w:lang w:val="en-US"/>
        </w:rPr>
        <w:t xml:space="preserve"> </w:t>
      </w:r>
      <w:proofErr w:type="spellStart"/>
      <w:r w:rsidRPr="000478B4">
        <w:rPr>
          <w:i/>
          <w:sz w:val="24"/>
          <w:szCs w:val="24"/>
          <w:lang w:val="en-US"/>
        </w:rPr>
        <w:t>Yevropa</w:t>
      </w:r>
      <w:proofErr w:type="spellEnd"/>
      <w:r w:rsidRPr="000478B4">
        <w:rPr>
          <w:i/>
          <w:sz w:val="24"/>
          <w:szCs w:val="24"/>
          <w:lang w:val="en-US"/>
        </w:rPr>
        <w:t xml:space="preserve">: </w:t>
      </w:r>
      <w:proofErr w:type="spellStart"/>
      <w:r w:rsidRPr="000478B4">
        <w:rPr>
          <w:i/>
          <w:sz w:val="24"/>
          <w:szCs w:val="24"/>
          <w:lang w:val="en-US"/>
        </w:rPr>
        <w:t>ekonomika</w:t>
      </w:r>
      <w:proofErr w:type="spellEnd"/>
      <w:r w:rsidRPr="000478B4">
        <w:rPr>
          <w:i/>
          <w:sz w:val="24"/>
          <w:szCs w:val="24"/>
          <w:lang w:val="en-US"/>
        </w:rPr>
        <w:t xml:space="preserve">, </w:t>
      </w:r>
      <w:proofErr w:type="spellStart"/>
      <w:r w:rsidRPr="000478B4">
        <w:rPr>
          <w:i/>
          <w:sz w:val="24"/>
          <w:szCs w:val="24"/>
          <w:lang w:val="en-US"/>
        </w:rPr>
        <w:t>biznes</w:t>
      </w:r>
      <w:proofErr w:type="spellEnd"/>
      <w:r w:rsidRPr="000478B4">
        <w:rPr>
          <w:i/>
          <w:sz w:val="24"/>
          <w:szCs w:val="24"/>
          <w:lang w:val="en-US"/>
        </w:rPr>
        <w:t xml:space="preserve"> ta </w:t>
      </w:r>
      <w:proofErr w:type="spellStart"/>
      <w:r w:rsidRPr="000478B4">
        <w:rPr>
          <w:i/>
          <w:sz w:val="24"/>
          <w:szCs w:val="24"/>
          <w:lang w:val="en-US"/>
        </w:rPr>
        <w:t>upravlinnia</w:t>
      </w:r>
      <w:proofErr w:type="spellEnd"/>
      <w:r w:rsidRPr="000478B4">
        <w:rPr>
          <w:sz w:val="24"/>
          <w:szCs w:val="24"/>
          <w:lang w:val="en-US"/>
        </w:rPr>
        <w:t xml:space="preserve">, vol. 2 (19), pp. 321-330. </w:t>
      </w:r>
    </w:p>
    <w:p w:rsidR="00672BE3" w:rsidRPr="000478B4" w:rsidRDefault="00672BE3" w:rsidP="000478B4">
      <w:pPr>
        <w:numPr>
          <w:ilvl w:val="0"/>
          <w:numId w:val="1"/>
        </w:numPr>
        <w:tabs>
          <w:tab w:val="left" w:pos="284"/>
        </w:tabs>
        <w:ind w:left="0" w:firstLine="709"/>
        <w:contextualSpacing/>
        <w:rPr>
          <w:sz w:val="24"/>
          <w:szCs w:val="24"/>
          <w:lang w:val="en-US"/>
        </w:rPr>
      </w:pPr>
      <w:r w:rsidRPr="000478B4">
        <w:rPr>
          <w:sz w:val="24"/>
          <w:szCs w:val="24"/>
          <w:lang w:val="en-US"/>
        </w:rPr>
        <w:t>State Statistics Service of Ukraine (2020), “Gross Domestic Product. Statistical information”, available at: http://www.ukrstat.gov.ua/ (Accessed 25 October 2020).</w:t>
      </w:r>
    </w:p>
    <w:p w:rsidR="00672BE3" w:rsidRPr="000478B4" w:rsidRDefault="00672BE3" w:rsidP="000478B4">
      <w:pPr>
        <w:numPr>
          <w:ilvl w:val="0"/>
          <w:numId w:val="1"/>
        </w:numPr>
        <w:tabs>
          <w:tab w:val="left" w:pos="284"/>
        </w:tabs>
        <w:ind w:left="0" w:firstLine="709"/>
        <w:contextualSpacing/>
        <w:rPr>
          <w:sz w:val="24"/>
          <w:szCs w:val="24"/>
          <w:lang w:val="en-US"/>
        </w:rPr>
      </w:pPr>
      <w:r w:rsidRPr="000478B4">
        <w:rPr>
          <w:sz w:val="24"/>
          <w:szCs w:val="24"/>
          <w:lang w:val="en-US"/>
        </w:rPr>
        <w:t xml:space="preserve"> </w:t>
      </w:r>
      <w:proofErr w:type="spellStart"/>
      <w:r w:rsidRPr="000478B4">
        <w:rPr>
          <w:sz w:val="24"/>
          <w:szCs w:val="24"/>
          <w:lang w:val="en-US"/>
        </w:rPr>
        <w:t>Yehorycheva</w:t>
      </w:r>
      <w:proofErr w:type="spellEnd"/>
      <w:r w:rsidRPr="000478B4">
        <w:rPr>
          <w:sz w:val="24"/>
          <w:szCs w:val="24"/>
          <w:lang w:val="en-US"/>
        </w:rPr>
        <w:t xml:space="preserve">, S., </w:t>
      </w:r>
      <w:proofErr w:type="spellStart"/>
      <w:r w:rsidRPr="000478B4">
        <w:rPr>
          <w:sz w:val="24"/>
          <w:szCs w:val="24"/>
          <w:lang w:val="en-US"/>
        </w:rPr>
        <w:t>Kolodiziev</w:t>
      </w:r>
      <w:proofErr w:type="spellEnd"/>
      <w:r w:rsidRPr="000478B4">
        <w:rPr>
          <w:sz w:val="24"/>
          <w:szCs w:val="24"/>
          <w:lang w:val="en-US"/>
        </w:rPr>
        <w:t xml:space="preserve">, O. and </w:t>
      </w:r>
      <w:proofErr w:type="spellStart"/>
      <w:r w:rsidRPr="000478B4">
        <w:rPr>
          <w:sz w:val="24"/>
          <w:szCs w:val="24"/>
          <w:lang w:val="en-US"/>
        </w:rPr>
        <w:t>Prasolova</w:t>
      </w:r>
      <w:proofErr w:type="spellEnd"/>
      <w:r w:rsidRPr="000478B4">
        <w:rPr>
          <w:sz w:val="24"/>
          <w:szCs w:val="24"/>
          <w:lang w:val="en-US"/>
        </w:rPr>
        <w:t xml:space="preserve">, S. (2017), “Actual problems of the capital stability management in the Ukraine’s banking system”, </w:t>
      </w:r>
      <w:r w:rsidRPr="000478B4">
        <w:rPr>
          <w:i/>
          <w:sz w:val="24"/>
          <w:szCs w:val="24"/>
          <w:lang w:val="en-US"/>
        </w:rPr>
        <w:t>Banks and Bank Systems,</w:t>
      </w:r>
      <w:r w:rsidRPr="000478B4">
        <w:rPr>
          <w:sz w:val="24"/>
          <w:szCs w:val="24"/>
          <w:lang w:val="en-US"/>
        </w:rPr>
        <w:t xml:space="preserve"> vol. 12, no. 2, pp. 60-67.</w:t>
      </w:r>
    </w:p>
    <w:p w:rsidR="00672BE3" w:rsidRPr="000478B4" w:rsidRDefault="00672BE3" w:rsidP="000478B4">
      <w:pPr>
        <w:numPr>
          <w:ilvl w:val="0"/>
          <w:numId w:val="1"/>
        </w:numPr>
        <w:tabs>
          <w:tab w:val="left" w:pos="284"/>
        </w:tabs>
        <w:ind w:left="0" w:firstLine="709"/>
        <w:contextualSpacing/>
        <w:rPr>
          <w:sz w:val="24"/>
          <w:szCs w:val="24"/>
          <w:lang w:val="en-US"/>
        </w:rPr>
      </w:pPr>
      <w:r w:rsidRPr="000478B4">
        <w:rPr>
          <w:sz w:val="24"/>
          <w:szCs w:val="24"/>
          <w:lang w:val="en-US"/>
        </w:rPr>
        <w:t xml:space="preserve">National Bank of Ukraine (2020), “The value of economic standards in the system as a whole. Data from supervisory statistics”, available at: </w:t>
      </w:r>
      <w:hyperlink r:id="rId15" w:anchor="1" w:history="1">
        <w:r w:rsidR="00BE4DDC" w:rsidRPr="000478B4">
          <w:rPr>
            <w:sz w:val="24"/>
            <w:szCs w:val="24"/>
            <w:lang w:val="en-US"/>
          </w:rPr>
          <w:t>https://bank.gov.ua/ua/statistic/supervision-statist/data-supervision#1</w:t>
        </w:r>
      </w:hyperlink>
      <w:r w:rsidR="00BE4DDC" w:rsidRPr="000478B4">
        <w:rPr>
          <w:sz w:val="24"/>
          <w:szCs w:val="24"/>
          <w:lang w:val="en-US"/>
        </w:rPr>
        <w:t xml:space="preserve"> </w:t>
      </w:r>
      <w:r w:rsidRPr="000478B4">
        <w:rPr>
          <w:sz w:val="24"/>
          <w:szCs w:val="24"/>
          <w:lang w:val="en-US"/>
        </w:rPr>
        <w:t>(Accessed 25 October 2020).</w:t>
      </w:r>
    </w:p>
    <w:p w:rsidR="00672BE3" w:rsidRPr="000478B4" w:rsidRDefault="00672BE3" w:rsidP="000478B4">
      <w:pPr>
        <w:numPr>
          <w:ilvl w:val="0"/>
          <w:numId w:val="1"/>
        </w:numPr>
        <w:tabs>
          <w:tab w:val="left" w:pos="284"/>
        </w:tabs>
        <w:ind w:left="0" w:firstLine="709"/>
        <w:contextualSpacing/>
        <w:rPr>
          <w:sz w:val="24"/>
          <w:szCs w:val="24"/>
          <w:lang w:val="en-US"/>
        </w:rPr>
      </w:pPr>
      <w:r w:rsidRPr="000478B4">
        <w:rPr>
          <w:sz w:val="24"/>
          <w:szCs w:val="24"/>
          <w:lang w:val="en-US"/>
        </w:rPr>
        <w:t xml:space="preserve">National Bank of Ukraine (2020), “Volumes of active operations and the share of non-operating assets in the system as a whole. Data from supervisory statistics”, available at: </w:t>
      </w:r>
      <w:hyperlink r:id="rId16" w:history="1">
        <w:r w:rsidR="00BE4DDC" w:rsidRPr="000478B4">
          <w:rPr>
            <w:sz w:val="24"/>
            <w:szCs w:val="24"/>
            <w:lang w:val="en-US"/>
          </w:rPr>
          <w:t>https://bank.gov.ua/ua/statistic/supervision-statist/data-supervision</w:t>
        </w:r>
      </w:hyperlink>
      <w:r w:rsidRPr="000478B4">
        <w:rPr>
          <w:sz w:val="24"/>
          <w:szCs w:val="24"/>
          <w:lang w:val="en-US"/>
        </w:rPr>
        <w:t xml:space="preserve"> (Accessed 25 October 2020).</w:t>
      </w:r>
    </w:p>
    <w:p w:rsidR="00672BE3" w:rsidRPr="000478B4" w:rsidRDefault="00672BE3" w:rsidP="000478B4">
      <w:pPr>
        <w:numPr>
          <w:ilvl w:val="0"/>
          <w:numId w:val="1"/>
        </w:numPr>
        <w:tabs>
          <w:tab w:val="left" w:pos="284"/>
        </w:tabs>
        <w:ind w:left="0" w:firstLine="709"/>
        <w:contextualSpacing/>
        <w:rPr>
          <w:sz w:val="24"/>
          <w:szCs w:val="24"/>
          <w:lang w:val="en-US"/>
        </w:rPr>
      </w:pPr>
      <w:r w:rsidRPr="000478B4">
        <w:rPr>
          <w:sz w:val="24"/>
          <w:szCs w:val="24"/>
          <w:lang w:val="en-US"/>
        </w:rPr>
        <w:t xml:space="preserve">National Bank of Ukraine (2020), “The high share of non-performing loans (NPL) remains a significant problem for the banking sector. The level of non-performing loans (NPL)”, available at: </w:t>
      </w:r>
      <w:hyperlink r:id="rId17" w:history="1">
        <w:r w:rsidR="00BE4DDC" w:rsidRPr="000478B4">
          <w:rPr>
            <w:sz w:val="24"/>
            <w:szCs w:val="24"/>
            <w:lang w:val="en-US"/>
          </w:rPr>
          <w:t>https://bank.gov.ua/ua/stability/npl</w:t>
        </w:r>
      </w:hyperlink>
      <w:r w:rsidRPr="000478B4">
        <w:rPr>
          <w:sz w:val="24"/>
          <w:szCs w:val="24"/>
          <w:lang w:val="en-US"/>
        </w:rPr>
        <w:t xml:space="preserve"> (Accessed 25 October 2020).</w:t>
      </w:r>
    </w:p>
    <w:p w:rsidR="00672BE3" w:rsidRPr="000478B4" w:rsidRDefault="00672BE3" w:rsidP="000478B4">
      <w:pPr>
        <w:numPr>
          <w:ilvl w:val="0"/>
          <w:numId w:val="1"/>
        </w:numPr>
        <w:tabs>
          <w:tab w:val="left" w:pos="284"/>
        </w:tabs>
        <w:ind w:left="0" w:firstLine="709"/>
        <w:contextualSpacing/>
        <w:rPr>
          <w:sz w:val="24"/>
          <w:szCs w:val="24"/>
          <w:lang w:val="en-US"/>
        </w:rPr>
      </w:pPr>
      <w:r w:rsidRPr="000478B4">
        <w:rPr>
          <w:sz w:val="24"/>
          <w:szCs w:val="24"/>
          <w:lang w:val="en-US"/>
        </w:rPr>
        <w:t xml:space="preserve">National Bank of Ukraine (2020), “Financial stability indicators and background data. Financial sector statistics”, available at: </w:t>
      </w:r>
      <w:hyperlink r:id="rId18" w:anchor="4fsi" w:history="1">
        <w:r w:rsidR="00BE4DDC" w:rsidRPr="000478B4">
          <w:rPr>
            <w:sz w:val="24"/>
            <w:szCs w:val="24"/>
            <w:lang w:val="en-US"/>
          </w:rPr>
          <w:t>https://bank.gov.ua/ua/statistic/sector-financial/data-sector-financial#4fsi</w:t>
        </w:r>
      </w:hyperlink>
      <w:r w:rsidRPr="000478B4">
        <w:rPr>
          <w:sz w:val="24"/>
          <w:szCs w:val="24"/>
          <w:lang w:val="en-US"/>
        </w:rPr>
        <w:t xml:space="preserve"> (Accessed 25 October 2020).</w:t>
      </w:r>
    </w:p>
    <w:p w:rsidR="00672BE3" w:rsidRPr="000478B4" w:rsidRDefault="00672BE3" w:rsidP="000478B4">
      <w:pPr>
        <w:numPr>
          <w:ilvl w:val="0"/>
          <w:numId w:val="1"/>
        </w:numPr>
        <w:tabs>
          <w:tab w:val="left" w:pos="284"/>
        </w:tabs>
        <w:ind w:left="0" w:firstLine="709"/>
        <w:contextualSpacing/>
        <w:rPr>
          <w:sz w:val="24"/>
          <w:szCs w:val="24"/>
          <w:lang w:val="en-US"/>
        </w:rPr>
      </w:pPr>
      <w:r w:rsidRPr="000478B4">
        <w:rPr>
          <w:sz w:val="24"/>
          <w:szCs w:val="24"/>
          <w:lang w:val="en-US"/>
        </w:rPr>
        <w:t xml:space="preserve"> National Bank of Ukraine (2020), “Financial Stability Report. June 2020”, available at: https://bank.gov.ua/admin_uploads/article/FSR_2020-H1.pdf?v=4 (Accessed 25 October 2020).</w:t>
      </w:r>
    </w:p>
    <w:p w:rsidR="00672BE3" w:rsidRDefault="00672BE3" w:rsidP="000478B4">
      <w:pPr>
        <w:contextualSpacing/>
        <w:rPr>
          <w:sz w:val="24"/>
          <w:szCs w:val="24"/>
        </w:rPr>
      </w:pPr>
    </w:p>
    <w:p w:rsidR="006E6CED" w:rsidRPr="006E6CED" w:rsidRDefault="006E6CED" w:rsidP="000478B4">
      <w:pPr>
        <w:contextualSpacing/>
        <w:rPr>
          <w:sz w:val="24"/>
          <w:szCs w:val="24"/>
        </w:rPr>
      </w:pPr>
      <w:bookmarkStart w:id="0" w:name="_GoBack"/>
      <w:bookmarkEnd w:id="0"/>
    </w:p>
    <w:p w:rsidR="0010495D" w:rsidRPr="000478B4" w:rsidRDefault="00EE6FFA" w:rsidP="000478B4">
      <w:pPr>
        <w:ind w:firstLine="567"/>
        <w:contextualSpacing/>
        <w:jc w:val="left"/>
        <w:rPr>
          <w:rFonts w:eastAsia="Calibri"/>
          <w:sz w:val="24"/>
          <w:szCs w:val="24"/>
          <w:lang w:val="ru-RU"/>
        </w:rPr>
      </w:pPr>
      <w:r w:rsidRPr="000478B4">
        <w:rPr>
          <w:rFonts w:eastAsia="Calibri"/>
          <w:sz w:val="24"/>
          <w:szCs w:val="24"/>
        </w:rPr>
        <w:t>УДК</w:t>
      </w:r>
      <w:r w:rsidR="0010495D" w:rsidRPr="000478B4">
        <w:rPr>
          <w:rFonts w:eastAsia="Calibri"/>
          <w:sz w:val="24"/>
          <w:szCs w:val="24"/>
          <w:lang w:val="ru-RU"/>
        </w:rPr>
        <w:t xml:space="preserve"> 336.71-021.387(477)</w:t>
      </w:r>
    </w:p>
    <w:p w:rsidR="0010495D" w:rsidRPr="000478B4" w:rsidRDefault="0010495D" w:rsidP="000478B4">
      <w:pPr>
        <w:ind w:firstLine="567"/>
        <w:contextualSpacing/>
        <w:rPr>
          <w:rFonts w:eastAsia="Calibri"/>
          <w:sz w:val="24"/>
          <w:szCs w:val="24"/>
          <w:lang w:val="ru-RU"/>
        </w:rPr>
      </w:pPr>
      <w:r w:rsidRPr="000478B4">
        <w:rPr>
          <w:rFonts w:eastAsia="Calibri"/>
          <w:sz w:val="24"/>
          <w:szCs w:val="24"/>
          <w:lang w:val="en-US"/>
        </w:rPr>
        <w:t>JEL</w:t>
      </w:r>
      <w:r w:rsidRPr="000478B4">
        <w:rPr>
          <w:rFonts w:eastAsia="Calibri"/>
          <w:sz w:val="24"/>
          <w:szCs w:val="24"/>
          <w:lang w:val="ru-RU"/>
        </w:rPr>
        <w:t xml:space="preserve"> </w:t>
      </w:r>
      <w:r w:rsidRPr="000478B4">
        <w:rPr>
          <w:rFonts w:eastAsia="Calibri"/>
          <w:sz w:val="24"/>
          <w:szCs w:val="24"/>
          <w:lang w:val="en-US"/>
        </w:rPr>
        <w:t>G</w:t>
      </w:r>
      <w:r w:rsidRPr="000478B4">
        <w:rPr>
          <w:rFonts w:eastAsia="Calibri"/>
          <w:sz w:val="24"/>
          <w:szCs w:val="24"/>
          <w:lang w:val="ru-RU"/>
        </w:rPr>
        <w:t>21</w:t>
      </w:r>
    </w:p>
    <w:p w:rsidR="00D73B09" w:rsidRPr="000478B4" w:rsidRDefault="0010495D" w:rsidP="000478B4">
      <w:pPr>
        <w:ind w:firstLine="567"/>
        <w:contextualSpacing/>
        <w:rPr>
          <w:sz w:val="24"/>
          <w:szCs w:val="24"/>
        </w:rPr>
      </w:pPr>
      <w:proofErr w:type="spellStart"/>
      <w:r w:rsidRPr="000478B4">
        <w:rPr>
          <w:b/>
          <w:sz w:val="24"/>
          <w:szCs w:val="24"/>
        </w:rPr>
        <w:t>Єгоричева</w:t>
      </w:r>
      <w:proofErr w:type="spellEnd"/>
      <w:r w:rsidRPr="000478B4">
        <w:rPr>
          <w:b/>
          <w:sz w:val="24"/>
          <w:szCs w:val="24"/>
        </w:rPr>
        <w:t xml:space="preserve"> Світлана Борисівна</w:t>
      </w:r>
      <w:r w:rsidRPr="000478B4">
        <w:rPr>
          <w:sz w:val="24"/>
          <w:szCs w:val="24"/>
        </w:rPr>
        <w:t xml:space="preserve">, доктор економічних наук, професор. Національний університет «Полтавська політехніка імені Юрія Кондратюка». </w:t>
      </w:r>
      <w:r w:rsidRPr="000478B4">
        <w:rPr>
          <w:b/>
          <w:sz w:val="24"/>
          <w:szCs w:val="24"/>
        </w:rPr>
        <w:t>Вовченко Оксана Сергіївна</w:t>
      </w:r>
      <w:r w:rsidRPr="000478B4">
        <w:rPr>
          <w:sz w:val="24"/>
          <w:szCs w:val="24"/>
        </w:rPr>
        <w:t xml:space="preserve">, асистент. Вищий навчальний заклад Укоопспілки «Полтавський університет економіки і торгівлі». </w:t>
      </w:r>
      <w:r w:rsidRPr="000478B4">
        <w:rPr>
          <w:b/>
          <w:sz w:val="24"/>
          <w:szCs w:val="24"/>
        </w:rPr>
        <w:t xml:space="preserve">Фінансова стабільність банків та її моніторинг в Україні. </w:t>
      </w:r>
      <w:r w:rsidR="00D73B09" w:rsidRPr="000478B4">
        <w:rPr>
          <w:sz w:val="24"/>
          <w:szCs w:val="24"/>
        </w:rPr>
        <w:t xml:space="preserve">Розвинуто поняття фінансової стабільності банків як комплексної та багатоаспектної категорії, зміст якої постійно збагачується. Розглянуто підходи до визначення фінансової стабільності та фінансової стабільності банків,  зокрема. Зазначено, що </w:t>
      </w:r>
      <w:r w:rsidR="006F0782" w:rsidRPr="000478B4">
        <w:rPr>
          <w:sz w:val="24"/>
          <w:szCs w:val="24"/>
        </w:rPr>
        <w:t xml:space="preserve"> сучасні операційні, функціональні, інституційні, технологічні особливості діяльності банків не можуть не позначитися на змістовному наповненні їх фінансової стабільності та оновленні механізмів її забезпечення. Наголошено на необхідності завчасній адаптації банківських установ до об’єктивних трансформацій економічного середовища шляхом інтегрування ризик-орієнтованого підходу та використання передових методів управління банком у всіх його бізнес-процесах. Здійснено моніторинг рівня фінансової стабільності банків в Україні, для чого проаналізован</w:t>
      </w:r>
      <w:r w:rsidR="00843C39" w:rsidRPr="000478B4">
        <w:rPr>
          <w:sz w:val="24"/>
          <w:szCs w:val="24"/>
        </w:rPr>
        <w:t>о</w:t>
      </w:r>
      <w:r w:rsidR="006F0782" w:rsidRPr="000478B4">
        <w:rPr>
          <w:sz w:val="24"/>
          <w:szCs w:val="24"/>
        </w:rPr>
        <w:t xml:space="preserve"> основні об’ємні показники їх діяльності та індикатор </w:t>
      </w:r>
      <w:r w:rsidR="006F0782" w:rsidRPr="000478B4">
        <w:rPr>
          <w:sz w:val="24"/>
          <w:szCs w:val="24"/>
          <w:lang w:val="en-US"/>
        </w:rPr>
        <w:t>Bank</w:t>
      </w:r>
      <w:r w:rsidR="006F0782" w:rsidRPr="000478B4">
        <w:rPr>
          <w:sz w:val="24"/>
          <w:szCs w:val="24"/>
        </w:rPr>
        <w:t xml:space="preserve"> </w:t>
      </w:r>
      <w:r w:rsidR="006F0782" w:rsidRPr="000478B4">
        <w:rPr>
          <w:sz w:val="24"/>
          <w:szCs w:val="24"/>
          <w:lang w:val="en-US"/>
        </w:rPr>
        <w:t>Z</w:t>
      </w:r>
      <w:r w:rsidR="006F0782" w:rsidRPr="000478B4">
        <w:rPr>
          <w:sz w:val="24"/>
          <w:szCs w:val="24"/>
        </w:rPr>
        <w:t>-</w:t>
      </w:r>
      <w:r w:rsidR="006F0782" w:rsidRPr="000478B4">
        <w:rPr>
          <w:sz w:val="24"/>
          <w:szCs w:val="24"/>
          <w:lang w:val="en-US"/>
        </w:rPr>
        <w:t>score</w:t>
      </w:r>
      <w:r w:rsidR="006F0782" w:rsidRPr="000478B4">
        <w:rPr>
          <w:sz w:val="24"/>
          <w:szCs w:val="24"/>
        </w:rPr>
        <w:t xml:space="preserve">, що розраховується Світовим банком. Аналіз показників проникнення банків в економіку засвідчив, що розвиток банківського сектора відстає від потреб </w:t>
      </w:r>
      <w:r w:rsidR="00BE4DDC" w:rsidRPr="000478B4">
        <w:rPr>
          <w:sz w:val="24"/>
          <w:szCs w:val="24"/>
        </w:rPr>
        <w:t xml:space="preserve">реального сектора, тому їх фінансова стабільність є відносною, хоча простежуються тенденції до її зміцнення. Особливо позитивним є постійне нарощення капітальної бази українських банків та дотримання ними нормативів адекватності капіталу. Проте якість кредитних портфелів банків є незадовільною, що становить загрозу для їх фінансової стабільності, </w:t>
      </w:r>
      <w:r w:rsidR="00951708" w:rsidRPr="000478B4">
        <w:rPr>
          <w:sz w:val="24"/>
          <w:szCs w:val="24"/>
        </w:rPr>
        <w:t>навіть із врахуванням</w:t>
      </w:r>
      <w:r w:rsidR="00BE4DDC" w:rsidRPr="000478B4">
        <w:rPr>
          <w:sz w:val="24"/>
          <w:szCs w:val="24"/>
        </w:rPr>
        <w:t xml:space="preserve"> велик</w:t>
      </w:r>
      <w:r w:rsidR="00951708" w:rsidRPr="000478B4">
        <w:rPr>
          <w:sz w:val="24"/>
          <w:szCs w:val="24"/>
        </w:rPr>
        <w:t>их</w:t>
      </w:r>
      <w:r w:rsidR="00BE4DDC" w:rsidRPr="000478B4">
        <w:rPr>
          <w:sz w:val="24"/>
          <w:szCs w:val="24"/>
        </w:rPr>
        <w:t xml:space="preserve"> обсяг</w:t>
      </w:r>
      <w:r w:rsidR="00951708" w:rsidRPr="000478B4">
        <w:rPr>
          <w:sz w:val="24"/>
          <w:szCs w:val="24"/>
        </w:rPr>
        <w:t>ів</w:t>
      </w:r>
      <w:r w:rsidR="00BE4DDC" w:rsidRPr="000478B4">
        <w:rPr>
          <w:sz w:val="24"/>
          <w:szCs w:val="24"/>
        </w:rPr>
        <w:t xml:space="preserve"> сформованих резервів</w:t>
      </w:r>
      <w:r w:rsidR="00951708" w:rsidRPr="000478B4">
        <w:rPr>
          <w:sz w:val="24"/>
          <w:szCs w:val="24"/>
        </w:rPr>
        <w:t xml:space="preserve"> під неповернення кредитів.</w:t>
      </w:r>
      <w:r w:rsidR="00BE4DDC" w:rsidRPr="000478B4">
        <w:rPr>
          <w:sz w:val="24"/>
          <w:szCs w:val="24"/>
        </w:rPr>
        <w:t xml:space="preserve"> Динаміка індикаторів фінансової </w:t>
      </w:r>
      <w:r w:rsidR="00BE4DDC" w:rsidRPr="000478B4">
        <w:rPr>
          <w:sz w:val="24"/>
          <w:szCs w:val="24"/>
        </w:rPr>
        <w:lastRenderedPageBreak/>
        <w:t xml:space="preserve">стабільності, що розраховуються </w:t>
      </w:r>
      <w:r w:rsidR="00951708" w:rsidRPr="000478B4">
        <w:rPr>
          <w:sz w:val="24"/>
          <w:szCs w:val="24"/>
        </w:rPr>
        <w:t>Національним банком України, підтвердила наявність передумов для</w:t>
      </w:r>
      <w:r w:rsidR="00EE6FFA" w:rsidRPr="000478B4">
        <w:rPr>
          <w:sz w:val="24"/>
          <w:szCs w:val="24"/>
        </w:rPr>
        <w:t xml:space="preserve"> її перспективного</w:t>
      </w:r>
      <w:r w:rsidR="00951708" w:rsidRPr="000478B4">
        <w:rPr>
          <w:sz w:val="24"/>
          <w:szCs w:val="24"/>
        </w:rPr>
        <w:t xml:space="preserve"> забезпечення, незважаючи на складні умови зовнішнього середовища. </w:t>
      </w:r>
      <w:r w:rsidR="009D3D76" w:rsidRPr="000478B4">
        <w:rPr>
          <w:sz w:val="24"/>
          <w:szCs w:val="24"/>
        </w:rPr>
        <w:t xml:space="preserve">Запропоновані у статті напрями моніторингу фінансової стабільності дозволяють вчасно діагностувати її погіршення для недопущення критичних наслідків для національної економіки. </w:t>
      </w:r>
    </w:p>
    <w:p w:rsidR="00EE6FFA" w:rsidRPr="000478B4" w:rsidRDefault="00EE6FFA" w:rsidP="000478B4">
      <w:pPr>
        <w:ind w:firstLine="709"/>
        <w:contextualSpacing/>
        <w:rPr>
          <w:sz w:val="24"/>
          <w:szCs w:val="24"/>
        </w:rPr>
      </w:pPr>
      <w:r w:rsidRPr="000478B4">
        <w:rPr>
          <w:b/>
          <w:i/>
          <w:sz w:val="24"/>
          <w:szCs w:val="24"/>
        </w:rPr>
        <w:t xml:space="preserve">Ключові слова: </w:t>
      </w:r>
      <w:r w:rsidRPr="000478B4">
        <w:rPr>
          <w:sz w:val="24"/>
          <w:szCs w:val="24"/>
        </w:rPr>
        <w:t xml:space="preserve">банк, фінансова стабільність, </w:t>
      </w:r>
      <w:r w:rsidR="00B232BD" w:rsidRPr="000478B4">
        <w:rPr>
          <w:sz w:val="24"/>
          <w:szCs w:val="24"/>
        </w:rPr>
        <w:t>рівновага</w:t>
      </w:r>
      <w:r w:rsidRPr="000478B4">
        <w:rPr>
          <w:sz w:val="24"/>
          <w:szCs w:val="24"/>
        </w:rPr>
        <w:t>, адаптація, моніторинг, достатність капіталу, якість кредитного портфелю.</w:t>
      </w:r>
    </w:p>
    <w:p w:rsidR="00EE6FFA" w:rsidRPr="000478B4" w:rsidRDefault="00EE6FFA" w:rsidP="000478B4">
      <w:pPr>
        <w:ind w:firstLine="709"/>
        <w:contextualSpacing/>
        <w:rPr>
          <w:sz w:val="24"/>
          <w:szCs w:val="24"/>
        </w:rPr>
      </w:pPr>
    </w:p>
    <w:p w:rsidR="00EE6FFA" w:rsidRPr="000478B4" w:rsidRDefault="00EE6FFA" w:rsidP="000478B4">
      <w:pPr>
        <w:ind w:firstLine="709"/>
        <w:contextualSpacing/>
        <w:rPr>
          <w:sz w:val="24"/>
          <w:szCs w:val="24"/>
        </w:rPr>
      </w:pPr>
    </w:p>
    <w:p w:rsidR="00EE6FFA" w:rsidRPr="000478B4" w:rsidRDefault="00EE6FFA" w:rsidP="000478B4">
      <w:pPr>
        <w:ind w:firstLine="709"/>
        <w:contextualSpacing/>
        <w:jc w:val="left"/>
        <w:rPr>
          <w:rFonts w:eastAsia="Calibri"/>
          <w:sz w:val="24"/>
          <w:szCs w:val="24"/>
          <w:lang w:val="en-US"/>
        </w:rPr>
      </w:pPr>
      <w:r w:rsidRPr="000478B4">
        <w:rPr>
          <w:rFonts w:eastAsia="Calibri"/>
          <w:sz w:val="24"/>
          <w:szCs w:val="24"/>
          <w:lang w:val="en-US"/>
        </w:rPr>
        <w:t>UDC 336.71-021.387(477)</w:t>
      </w:r>
    </w:p>
    <w:p w:rsidR="00EE6FFA" w:rsidRPr="000478B4" w:rsidRDefault="00EE6FFA" w:rsidP="000478B4">
      <w:pPr>
        <w:ind w:firstLine="709"/>
        <w:contextualSpacing/>
        <w:rPr>
          <w:rFonts w:eastAsia="Calibri"/>
          <w:sz w:val="24"/>
          <w:szCs w:val="24"/>
        </w:rPr>
      </w:pPr>
      <w:r w:rsidRPr="000478B4">
        <w:rPr>
          <w:rFonts w:eastAsia="Calibri"/>
          <w:sz w:val="24"/>
          <w:szCs w:val="24"/>
          <w:lang w:val="en-US"/>
        </w:rPr>
        <w:t>JEL G21</w:t>
      </w:r>
    </w:p>
    <w:p w:rsidR="00843C39" w:rsidRPr="000478B4" w:rsidRDefault="00EE6FFA" w:rsidP="000478B4">
      <w:pPr>
        <w:ind w:firstLine="709"/>
        <w:contextualSpacing/>
        <w:rPr>
          <w:sz w:val="24"/>
          <w:szCs w:val="24"/>
          <w:lang w:val="en-US"/>
        </w:rPr>
      </w:pPr>
      <w:proofErr w:type="spellStart"/>
      <w:r w:rsidRPr="000478B4">
        <w:rPr>
          <w:b/>
          <w:sz w:val="24"/>
          <w:szCs w:val="24"/>
          <w:lang w:val="en-US"/>
        </w:rPr>
        <w:t>Yehorycheva</w:t>
      </w:r>
      <w:proofErr w:type="spellEnd"/>
      <w:r w:rsidRPr="000478B4">
        <w:rPr>
          <w:b/>
          <w:sz w:val="24"/>
          <w:szCs w:val="24"/>
          <w:lang w:val="en-US"/>
        </w:rPr>
        <w:t xml:space="preserve"> </w:t>
      </w:r>
      <w:proofErr w:type="spellStart"/>
      <w:r w:rsidRPr="000478B4">
        <w:rPr>
          <w:b/>
          <w:sz w:val="24"/>
          <w:szCs w:val="24"/>
          <w:lang w:val="en-US"/>
        </w:rPr>
        <w:t>Svitlana</w:t>
      </w:r>
      <w:proofErr w:type="spellEnd"/>
      <w:r w:rsidRPr="000478B4">
        <w:rPr>
          <w:sz w:val="24"/>
          <w:szCs w:val="24"/>
          <w:lang w:val="en-US"/>
        </w:rPr>
        <w:t>, D</w:t>
      </w:r>
      <w:r w:rsidR="00A0233F" w:rsidRPr="000478B4">
        <w:rPr>
          <w:sz w:val="24"/>
          <w:szCs w:val="24"/>
          <w:lang w:val="en-US"/>
        </w:rPr>
        <w:t>.Sc.</w:t>
      </w:r>
      <w:r w:rsidR="00730CD7" w:rsidRPr="000478B4">
        <w:rPr>
          <w:sz w:val="24"/>
          <w:szCs w:val="24"/>
          <w:lang w:val="en-US"/>
        </w:rPr>
        <w:t xml:space="preserve"> (</w:t>
      </w:r>
      <w:r w:rsidR="00502DC0" w:rsidRPr="000478B4">
        <w:rPr>
          <w:sz w:val="24"/>
          <w:szCs w:val="24"/>
          <w:lang w:val="en-US"/>
        </w:rPr>
        <w:t>Economics)</w:t>
      </w:r>
      <w:r w:rsidRPr="000478B4">
        <w:rPr>
          <w:sz w:val="24"/>
          <w:szCs w:val="24"/>
          <w:lang w:val="en-US"/>
        </w:rPr>
        <w:t xml:space="preserve">, Professor. </w:t>
      </w:r>
      <w:proofErr w:type="gramStart"/>
      <w:r w:rsidRPr="000478B4">
        <w:rPr>
          <w:sz w:val="24"/>
          <w:szCs w:val="24"/>
          <w:lang w:val="en-US"/>
        </w:rPr>
        <w:t xml:space="preserve">National University “Yuri </w:t>
      </w:r>
      <w:proofErr w:type="spellStart"/>
      <w:r w:rsidRPr="000478B4">
        <w:rPr>
          <w:sz w:val="24"/>
          <w:szCs w:val="24"/>
          <w:lang w:val="en-US"/>
        </w:rPr>
        <w:t>Kondratyuk</w:t>
      </w:r>
      <w:proofErr w:type="spellEnd"/>
      <w:r w:rsidRPr="000478B4">
        <w:rPr>
          <w:sz w:val="24"/>
          <w:szCs w:val="24"/>
          <w:lang w:val="en-US"/>
        </w:rPr>
        <w:t xml:space="preserve"> Poltava Polytechnic”.</w:t>
      </w:r>
      <w:proofErr w:type="gramEnd"/>
      <w:r w:rsidRPr="000478B4">
        <w:rPr>
          <w:sz w:val="24"/>
          <w:szCs w:val="24"/>
          <w:lang w:val="en-US"/>
        </w:rPr>
        <w:t xml:space="preserve"> </w:t>
      </w:r>
      <w:proofErr w:type="spellStart"/>
      <w:r w:rsidRPr="000478B4">
        <w:rPr>
          <w:b/>
          <w:sz w:val="24"/>
          <w:szCs w:val="24"/>
          <w:lang w:val="en-US"/>
        </w:rPr>
        <w:t>Vovchenko</w:t>
      </w:r>
      <w:proofErr w:type="spellEnd"/>
      <w:r w:rsidRPr="000478B4">
        <w:rPr>
          <w:b/>
          <w:sz w:val="24"/>
          <w:szCs w:val="24"/>
          <w:lang w:val="en-US"/>
        </w:rPr>
        <w:t xml:space="preserve"> Oksana</w:t>
      </w:r>
      <w:r w:rsidRPr="000478B4">
        <w:rPr>
          <w:sz w:val="24"/>
          <w:szCs w:val="24"/>
          <w:lang w:val="en-US"/>
        </w:rPr>
        <w:t xml:space="preserve">, Assistant. </w:t>
      </w:r>
      <w:proofErr w:type="gramStart"/>
      <w:r w:rsidRPr="000478B4">
        <w:rPr>
          <w:sz w:val="24"/>
          <w:szCs w:val="24"/>
          <w:lang w:val="en-US"/>
        </w:rPr>
        <w:t xml:space="preserve">Higher Educational Establishment of </w:t>
      </w:r>
      <w:proofErr w:type="spellStart"/>
      <w:r w:rsidRPr="000478B4">
        <w:rPr>
          <w:sz w:val="24"/>
          <w:szCs w:val="24"/>
          <w:lang w:val="en-US"/>
        </w:rPr>
        <w:t>Ukoopspilka</w:t>
      </w:r>
      <w:proofErr w:type="spellEnd"/>
      <w:r w:rsidRPr="000478B4">
        <w:rPr>
          <w:sz w:val="24"/>
          <w:szCs w:val="24"/>
          <w:lang w:val="en-US"/>
        </w:rPr>
        <w:t xml:space="preserve"> “Poltava University of Economics and Trade”.</w:t>
      </w:r>
      <w:proofErr w:type="gramEnd"/>
      <w:r w:rsidRPr="000478B4">
        <w:rPr>
          <w:sz w:val="24"/>
          <w:szCs w:val="24"/>
          <w:lang w:val="en-US"/>
        </w:rPr>
        <w:t xml:space="preserve"> </w:t>
      </w:r>
      <w:proofErr w:type="gramStart"/>
      <w:r w:rsidRPr="000478B4">
        <w:rPr>
          <w:b/>
          <w:sz w:val="24"/>
          <w:szCs w:val="24"/>
          <w:lang w:val="en-US"/>
        </w:rPr>
        <w:t xml:space="preserve">Financial </w:t>
      </w:r>
      <w:r w:rsidR="00502DC0" w:rsidRPr="000478B4">
        <w:rPr>
          <w:b/>
          <w:sz w:val="24"/>
          <w:szCs w:val="24"/>
          <w:lang w:val="en-US"/>
        </w:rPr>
        <w:t>S</w:t>
      </w:r>
      <w:r w:rsidRPr="000478B4">
        <w:rPr>
          <w:b/>
          <w:sz w:val="24"/>
          <w:szCs w:val="24"/>
          <w:lang w:val="en-US"/>
        </w:rPr>
        <w:t xml:space="preserve">tability of </w:t>
      </w:r>
      <w:r w:rsidR="00502DC0" w:rsidRPr="000478B4">
        <w:rPr>
          <w:b/>
          <w:sz w:val="24"/>
          <w:szCs w:val="24"/>
          <w:lang w:val="en-US"/>
        </w:rPr>
        <w:t>B</w:t>
      </w:r>
      <w:r w:rsidRPr="000478B4">
        <w:rPr>
          <w:b/>
          <w:sz w:val="24"/>
          <w:szCs w:val="24"/>
          <w:lang w:val="en-US"/>
        </w:rPr>
        <w:t xml:space="preserve">anks and </w:t>
      </w:r>
      <w:r w:rsidR="00502DC0" w:rsidRPr="000478B4">
        <w:rPr>
          <w:b/>
          <w:sz w:val="24"/>
          <w:szCs w:val="24"/>
          <w:lang w:val="en-US"/>
        </w:rPr>
        <w:t>I</w:t>
      </w:r>
      <w:r w:rsidRPr="000478B4">
        <w:rPr>
          <w:b/>
          <w:sz w:val="24"/>
          <w:szCs w:val="24"/>
          <w:lang w:val="en-US"/>
        </w:rPr>
        <w:t xml:space="preserve">ts </w:t>
      </w:r>
      <w:r w:rsidR="00502DC0" w:rsidRPr="000478B4">
        <w:rPr>
          <w:b/>
          <w:sz w:val="24"/>
          <w:szCs w:val="24"/>
          <w:lang w:val="en-US"/>
        </w:rPr>
        <w:t>M</w:t>
      </w:r>
      <w:r w:rsidRPr="000478B4">
        <w:rPr>
          <w:b/>
          <w:sz w:val="24"/>
          <w:szCs w:val="24"/>
          <w:lang w:val="en-US"/>
        </w:rPr>
        <w:t>onitoring in Ukraine</w:t>
      </w:r>
      <w:r w:rsidRPr="000478B4">
        <w:rPr>
          <w:sz w:val="24"/>
          <w:szCs w:val="24"/>
          <w:lang w:val="en-US"/>
        </w:rPr>
        <w:t>.</w:t>
      </w:r>
      <w:proofErr w:type="gramEnd"/>
      <w:r w:rsidRPr="000478B4">
        <w:rPr>
          <w:sz w:val="24"/>
          <w:szCs w:val="24"/>
          <w:lang w:val="en-US"/>
        </w:rPr>
        <w:t xml:space="preserve"> The concept of financial stability of banks as a complex and multifaceted category, the content of which is constantly enriched, has been developed. Approaches to determining the financial stability and financial stability of banks, in particular, are considered. It is noted that modern operational, functional, institutional, technological features of banks </w:t>
      </w:r>
      <w:r w:rsidR="005B45E2" w:rsidRPr="000478B4">
        <w:rPr>
          <w:sz w:val="24"/>
          <w:szCs w:val="24"/>
          <w:lang w:val="en-US"/>
        </w:rPr>
        <w:t>cannot</w:t>
      </w:r>
      <w:r w:rsidRPr="000478B4">
        <w:rPr>
          <w:sz w:val="24"/>
          <w:szCs w:val="24"/>
          <w:lang w:val="en-US"/>
        </w:rPr>
        <w:t xml:space="preserve"> but affect the content of their financial stability and update the mechanisms for its </w:t>
      </w:r>
      <w:r w:rsidR="005B45E2" w:rsidRPr="000478B4">
        <w:rPr>
          <w:sz w:val="24"/>
          <w:szCs w:val="24"/>
          <w:lang w:val="en-US"/>
        </w:rPr>
        <w:t>ensuring</w:t>
      </w:r>
      <w:r w:rsidRPr="000478B4">
        <w:rPr>
          <w:sz w:val="24"/>
          <w:szCs w:val="24"/>
          <w:lang w:val="en-US"/>
        </w:rPr>
        <w:t xml:space="preserve">. Emphasis is placed on the need for early adaptation of banking institutions to objective transformations of the economic environment through the integration of risk-oriented approach and the use of advanced methods of bank management in all its business processes. The level of financial stability of banks in Ukraine </w:t>
      </w:r>
      <w:r w:rsidR="00843C39" w:rsidRPr="000478B4">
        <w:rPr>
          <w:sz w:val="24"/>
          <w:szCs w:val="24"/>
          <w:lang w:val="en-US"/>
        </w:rPr>
        <w:t>is</w:t>
      </w:r>
      <w:r w:rsidRPr="000478B4">
        <w:rPr>
          <w:sz w:val="24"/>
          <w:szCs w:val="24"/>
          <w:lang w:val="en-US"/>
        </w:rPr>
        <w:t xml:space="preserve"> monitored, for which the main volume indicators of their activity and the Bank Z-score indicator calculated by the World Bank </w:t>
      </w:r>
      <w:r w:rsidR="00843C39" w:rsidRPr="000478B4">
        <w:rPr>
          <w:sz w:val="24"/>
          <w:szCs w:val="24"/>
          <w:lang w:val="en-US"/>
        </w:rPr>
        <w:t>are</w:t>
      </w:r>
      <w:r w:rsidRPr="000478B4">
        <w:rPr>
          <w:sz w:val="24"/>
          <w:szCs w:val="24"/>
          <w:lang w:val="en-US"/>
        </w:rPr>
        <w:t xml:space="preserve"> analyzed.</w:t>
      </w:r>
      <w:r w:rsidR="00843C39" w:rsidRPr="000478B4">
        <w:rPr>
          <w:sz w:val="24"/>
          <w:szCs w:val="24"/>
        </w:rPr>
        <w:t xml:space="preserve"> </w:t>
      </w:r>
      <w:r w:rsidR="00843C39" w:rsidRPr="000478B4">
        <w:rPr>
          <w:sz w:val="24"/>
          <w:szCs w:val="24"/>
          <w:lang w:val="en-US"/>
        </w:rPr>
        <w:t>The analysis of indicators of banks’ penetration into the economy shows that the development of the banking sector lags behind the needs of the real sector, so its financial stability is relative, although there are trends to strengthen it. The constant increase in the capital base of Ukrainian banks and their compliance with capital adequacy ratios is particularly positive. However, the quality of banks’ loan portfolios is unsatisfactory, which poses a threat to their financial stability, even given the large amounts of formed provisions for loan impairment. The dynamics of financial stability indicators calculated by the National Bank of Ukraine confirms the existence of prerequisites for its long-term provision, despite the difficult environmental conditions. The directions of monitoring of financial stability offered in the article allow diagnosing its deterioration in time to prevent critical consequences for the national economy.</w:t>
      </w:r>
    </w:p>
    <w:p w:rsidR="00EE6FFA" w:rsidRPr="000478B4" w:rsidRDefault="00843C39" w:rsidP="000478B4">
      <w:pPr>
        <w:ind w:firstLine="709"/>
        <w:contextualSpacing/>
        <w:rPr>
          <w:sz w:val="24"/>
          <w:szCs w:val="24"/>
          <w:lang w:val="en-US"/>
        </w:rPr>
      </w:pPr>
      <w:r w:rsidRPr="000478B4">
        <w:rPr>
          <w:b/>
          <w:i/>
          <w:sz w:val="24"/>
          <w:szCs w:val="24"/>
          <w:lang w:val="en-US"/>
        </w:rPr>
        <w:t>Key words:</w:t>
      </w:r>
      <w:r w:rsidRPr="000478B4">
        <w:rPr>
          <w:sz w:val="24"/>
          <w:szCs w:val="24"/>
          <w:lang w:val="en-US"/>
        </w:rPr>
        <w:t xml:space="preserve"> bank, financial stability, </w:t>
      </w:r>
      <w:r w:rsidR="00B232BD" w:rsidRPr="000478B4">
        <w:rPr>
          <w:rFonts w:eastAsia="Calibri"/>
          <w:bCs/>
          <w:iCs/>
          <w:sz w:val="24"/>
          <w:szCs w:val="24"/>
          <w:lang w:val="en-US"/>
        </w:rPr>
        <w:t>equilibrium</w:t>
      </w:r>
      <w:r w:rsidRPr="000478B4">
        <w:rPr>
          <w:sz w:val="24"/>
          <w:szCs w:val="24"/>
          <w:lang w:val="en-US"/>
        </w:rPr>
        <w:t>, adaptation, monitoring, capital adequacy, loan portfolio quality.</w:t>
      </w:r>
    </w:p>
    <w:sectPr w:rsidR="00EE6FFA" w:rsidRPr="000478B4" w:rsidSect="006E6CED">
      <w:pgSz w:w="11906" w:h="16838"/>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850" w:rsidRDefault="007B3850" w:rsidP="00DE0EC8">
      <w:r>
        <w:separator/>
      </w:r>
    </w:p>
  </w:endnote>
  <w:endnote w:type="continuationSeparator" w:id="0">
    <w:p w:rsidR="007B3850" w:rsidRDefault="007B3850" w:rsidP="00DE0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850" w:rsidRDefault="007B3850" w:rsidP="00DE0EC8">
      <w:r>
        <w:separator/>
      </w:r>
    </w:p>
  </w:footnote>
  <w:footnote w:type="continuationSeparator" w:id="0">
    <w:p w:rsidR="007B3850" w:rsidRDefault="007B3850" w:rsidP="00DE0E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65372"/>
    <w:multiLevelType w:val="hybridMultilevel"/>
    <w:tmpl w:val="0DACC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3C80696"/>
    <w:multiLevelType w:val="hybridMultilevel"/>
    <w:tmpl w:val="6A2EE4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335"/>
    <w:rsid w:val="0001009F"/>
    <w:rsid w:val="000149AE"/>
    <w:rsid w:val="000478B4"/>
    <w:rsid w:val="00052290"/>
    <w:rsid w:val="00070B89"/>
    <w:rsid w:val="000A535E"/>
    <w:rsid w:val="000A7E21"/>
    <w:rsid w:val="000B50E0"/>
    <w:rsid w:val="000D1816"/>
    <w:rsid w:val="000D6179"/>
    <w:rsid w:val="000F6AF1"/>
    <w:rsid w:val="001000F7"/>
    <w:rsid w:val="0010495D"/>
    <w:rsid w:val="00104F33"/>
    <w:rsid w:val="00117DB0"/>
    <w:rsid w:val="00125173"/>
    <w:rsid w:val="00163AE9"/>
    <w:rsid w:val="00172F72"/>
    <w:rsid w:val="0019560B"/>
    <w:rsid w:val="001A1296"/>
    <w:rsid w:val="001A1FB7"/>
    <w:rsid w:val="001C2C9B"/>
    <w:rsid w:val="001E41C7"/>
    <w:rsid w:val="001F44F2"/>
    <w:rsid w:val="00221031"/>
    <w:rsid w:val="002279C3"/>
    <w:rsid w:val="00234F2C"/>
    <w:rsid w:val="00247582"/>
    <w:rsid w:val="002529A1"/>
    <w:rsid w:val="00273914"/>
    <w:rsid w:val="00280735"/>
    <w:rsid w:val="00280D42"/>
    <w:rsid w:val="002839B8"/>
    <w:rsid w:val="00295053"/>
    <w:rsid w:val="00296C11"/>
    <w:rsid w:val="002A04D8"/>
    <w:rsid w:val="002C454F"/>
    <w:rsid w:val="002D09F4"/>
    <w:rsid w:val="002D0B37"/>
    <w:rsid w:val="002D6993"/>
    <w:rsid w:val="002E0E03"/>
    <w:rsid w:val="002F0284"/>
    <w:rsid w:val="00330240"/>
    <w:rsid w:val="003436C5"/>
    <w:rsid w:val="00367C57"/>
    <w:rsid w:val="00375545"/>
    <w:rsid w:val="0038066D"/>
    <w:rsid w:val="003836CB"/>
    <w:rsid w:val="003900F4"/>
    <w:rsid w:val="003C4A98"/>
    <w:rsid w:val="003C6408"/>
    <w:rsid w:val="003E7E83"/>
    <w:rsid w:val="003F625A"/>
    <w:rsid w:val="00415A11"/>
    <w:rsid w:val="00434DA5"/>
    <w:rsid w:val="0044463C"/>
    <w:rsid w:val="00445AD6"/>
    <w:rsid w:val="00463915"/>
    <w:rsid w:val="0048150C"/>
    <w:rsid w:val="004C459C"/>
    <w:rsid w:val="004D48DE"/>
    <w:rsid w:val="004D67FC"/>
    <w:rsid w:val="004F61BD"/>
    <w:rsid w:val="004F691D"/>
    <w:rsid w:val="00502DC0"/>
    <w:rsid w:val="00523858"/>
    <w:rsid w:val="00546F7A"/>
    <w:rsid w:val="00554289"/>
    <w:rsid w:val="00572519"/>
    <w:rsid w:val="00597221"/>
    <w:rsid w:val="005A398B"/>
    <w:rsid w:val="005B45E2"/>
    <w:rsid w:val="005D292C"/>
    <w:rsid w:val="005E06AC"/>
    <w:rsid w:val="00612229"/>
    <w:rsid w:val="0061685E"/>
    <w:rsid w:val="00627C55"/>
    <w:rsid w:val="00645CD3"/>
    <w:rsid w:val="00652FC8"/>
    <w:rsid w:val="00671124"/>
    <w:rsid w:val="00672BE3"/>
    <w:rsid w:val="00690D5E"/>
    <w:rsid w:val="006B09E0"/>
    <w:rsid w:val="006D455C"/>
    <w:rsid w:val="006D6B20"/>
    <w:rsid w:val="006E6CED"/>
    <w:rsid w:val="006F0782"/>
    <w:rsid w:val="007233DE"/>
    <w:rsid w:val="00730CD7"/>
    <w:rsid w:val="00736E93"/>
    <w:rsid w:val="00747B0B"/>
    <w:rsid w:val="007654F6"/>
    <w:rsid w:val="007A420B"/>
    <w:rsid w:val="007B1C54"/>
    <w:rsid w:val="007B3850"/>
    <w:rsid w:val="007E2853"/>
    <w:rsid w:val="007F254D"/>
    <w:rsid w:val="007F70A7"/>
    <w:rsid w:val="00812C83"/>
    <w:rsid w:val="00841DD7"/>
    <w:rsid w:val="00842E0F"/>
    <w:rsid w:val="00843C39"/>
    <w:rsid w:val="008551A8"/>
    <w:rsid w:val="0086085C"/>
    <w:rsid w:val="00907AAF"/>
    <w:rsid w:val="00912BF1"/>
    <w:rsid w:val="00923151"/>
    <w:rsid w:val="0092433E"/>
    <w:rsid w:val="00951708"/>
    <w:rsid w:val="009632FE"/>
    <w:rsid w:val="00975E75"/>
    <w:rsid w:val="009816CC"/>
    <w:rsid w:val="00982BC7"/>
    <w:rsid w:val="00984319"/>
    <w:rsid w:val="0098794C"/>
    <w:rsid w:val="009A0248"/>
    <w:rsid w:val="009B0FFB"/>
    <w:rsid w:val="009D3490"/>
    <w:rsid w:val="009D3D76"/>
    <w:rsid w:val="00A0233F"/>
    <w:rsid w:val="00A259B1"/>
    <w:rsid w:val="00A26AA0"/>
    <w:rsid w:val="00A3479C"/>
    <w:rsid w:val="00A374B2"/>
    <w:rsid w:val="00A54FA5"/>
    <w:rsid w:val="00A63F6D"/>
    <w:rsid w:val="00A821C1"/>
    <w:rsid w:val="00A922A6"/>
    <w:rsid w:val="00A94F8D"/>
    <w:rsid w:val="00AB5BCA"/>
    <w:rsid w:val="00AD20C0"/>
    <w:rsid w:val="00AD3CE1"/>
    <w:rsid w:val="00AE686F"/>
    <w:rsid w:val="00B01C95"/>
    <w:rsid w:val="00B104B0"/>
    <w:rsid w:val="00B10C28"/>
    <w:rsid w:val="00B13C47"/>
    <w:rsid w:val="00B232BD"/>
    <w:rsid w:val="00B31228"/>
    <w:rsid w:val="00B523DC"/>
    <w:rsid w:val="00B52440"/>
    <w:rsid w:val="00B70691"/>
    <w:rsid w:val="00B75373"/>
    <w:rsid w:val="00B90335"/>
    <w:rsid w:val="00BA42F6"/>
    <w:rsid w:val="00BB588C"/>
    <w:rsid w:val="00BC652C"/>
    <w:rsid w:val="00BD5088"/>
    <w:rsid w:val="00BD5817"/>
    <w:rsid w:val="00BE4DDC"/>
    <w:rsid w:val="00BF4944"/>
    <w:rsid w:val="00C0487E"/>
    <w:rsid w:val="00C1305B"/>
    <w:rsid w:val="00C32005"/>
    <w:rsid w:val="00C51660"/>
    <w:rsid w:val="00C62A01"/>
    <w:rsid w:val="00C655E5"/>
    <w:rsid w:val="00C67059"/>
    <w:rsid w:val="00C74F0B"/>
    <w:rsid w:val="00C84655"/>
    <w:rsid w:val="00C84682"/>
    <w:rsid w:val="00C940A1"/>
    <w:rsid w:val="00C95F17"/>
    <w:rsid w:val="00CC726B"/>
    <w:rsid w:val="00CE43F7"/>
    <w:rsid w:val="00CF425B"/>
    <w:rsid w:val="00CF483B"/>
    <w:rsid w:val="00D02A8C"/>
    <w:rsid w:val="00D17ADB"/>
    <w:rsid w:val="00D20BD0"/>
    <w:rsid w:val="00D44FE3"/>
    <w:rsid w:val="00D51269"/>
    <w:rsid w:val="00D73B09"/>
    <w:rsid w:val="00D82419"/>
    <w:rsid w:val="00DC4DDA"/>
    <w:rsid w:val="00DC4DDC"/>
    <w:rsid w:val="00DC581A"/>
    <w:rsid w:val="00DD2140"/>
    <w:rsid w:val="00DD7FAE"/>
    <w:rsid w:val="00DE0EC8"/>
    <w:rsid w:val="00DF7B1D"/>
    <w:rsid w:val="00E101EF"/>
    <w:rsid w:val="00E15307"/>
    <w:rsid w:val="00E45762"/>
    <w:rsid w:val="00E6152B"/>
    <w:rsid w:val="00E93B86"/>
    <w:rsid w:val="00EA603A"/>
    <w:rsid w:val="00EB3B16"/>
    <w:rsid w:val="00EC7706"/>
    <w:rsid w:val="00EE2E9A"/>
    <w:rsid w:val="00EE6FFA"/>
    <w:rsid w:val="00F31B8D"/>
    <w:rsid w:val="00F413BE"/>
    <w:rsid w:val="00F6015A"/>
    <w:rsid w:val="00F7076F"/>
    <w:rsid w:val="00F763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E0EC8"/>
    <w:pPr>
      <w:spacing w:after="160" w:line="259" w:lineRule="auto"/>
      <w:ind w:left="720"/>
      <w:contextualSpacing/>
      <w:jc w:val="left"/>
    </w:pPr>
    <w:rPr>
      <w:rFonts w:ascii="Calibri" w:hAnsi="Calibri"/>
      <w:sz w:val="22"/>
      <w:szCs w:val="22"/>
    </w:rPr>
  </w:style>
  <w:style w:type="character" w:customStyle="1" w:styleId="a4">
    <w:name w:val="Абзац списка Знак"/>
    <w:link w:val="a3"/>
    <w:uiPriority w:val="34"/>
    <w:locked/>
    <w:rsid w:val="00DE0EC8"/>
    <w:rPr>
      <w:rFonts w:ascii="Calibri" w:hAnsi="Calibri"/>
      <w:sz w:val="22"/>
      <w:szCs w:val="22"/>
    </w:rPr>
  </w:style>
  <w:style w:type="paragraph" w:styleId="a5">
    <w:name w:val="footnote text"/>
    <w:basedOn w:val="a"/>
    <w:link w:val="a6"/>
    <w:uiPriority w:val="99"/>
    <w:unhideWhenUsed/>
    <w:rsid w:val="00DE0EC8"/>
    <w:pPr>
      <w:jc w:val="left"/>
    </w:pPr>
    <w:rPr>
      <w:rFonts w:ascii="Calibri" w:hAnsi="Calibri"/>
      <w:sz w:val="20"/>
      <w:szCs w:val="20"/>
    </w:rPr>
  </w:style>
  <w:style w:type="character" w:customStyle="1" w:styleId="a6">
    <w:name w:val="Текст сноски Знак"/>
    <w:basedOn w:val="a0"/>
    <w:link w:val="a5"/>
    <w:uiPriority w:val="99"/>
    <w:rsid w:val="00DE0EC8"/>
    <w:rPr>
      <w:rFonts w:ascii="Calibri" w:hAnsi="Calibri"/>
      <w:sz w:val="20"/>
      <w:szCs w:val="20"/>
    </w:rPr>
  </w:style>
  <w:style w:type="character" w:styleId="a7">
    <w:name w:val="footnote reference"/>
    <w:basedOn w:val="a0"/>
    <w:uiPriority w:val="99"/>
    <w:semiHidden/>
    <w:unhideWhenUsed/>
    <w:rsid w:val="00DE0EC8"/>
    <w:rPr>
      <w:vertAlign w:val="superscript"/>
    </w:rPr>
  </w:style>
  <w:style w:type="character" w:styleId="a8">
    <w:name w:val="Hyperlink"/>
    <w:basedOn w:val="a0"/>
    <w:uiPriority w:val="99"/>
    <w:unhideWhenUsed/>
    <w:rsid w:val="00DE0EC8"/>
    <w:rPr>
      <w:color w:val="0000FF"/>
      <w:u w:val="single"/>
    </w:rPr>
  </w:style>
  <w:style w:type="paragraph" w:styleId="a9">
    <w:name w:val="endnote text"/>
    <w:basedOn w:val="a"/>
    <w:link w:val="aa"/>
    <w:uiPriority w:val="99"/>
    <w:unhideWhenUsed/>
    <w:rsid w:val="00DE0EC8"/>
    <w:pPr>
      <w:jc w:val="left"/>
    </w:pPr>
    <w:rPr>
      <w:rFonts w:ascii="Calibri" w:hAnsi="Calibri"/>
      <w:sz w:val="20"/>
      <w:szCs w:val="20"/>
    </w:rPr>
  </w:style>
  <w:style w:type="character" w:customStyle="1" w:styleId="aa">
    <w:name w:val="Текст концевой сноски Знак"/>
    <w:basedOn w:val="a0"/>
    <w:link w:val="a9"/>
    <w:uiPriority w:val="99"/>
    <w:rsid w:val="00DE0EC8"/>
    <w:rPr>
      <w:rFonts w:ascii="Calibri" w:hAnsi="Calibri"/>
      <w:sz w:val="20"/>
      <w:szCs w:val="20"/>
    </w:rPr>
  </w:style>
  <w:style w:type="character" w:styleId="ab">
    <w:name w:val="endnote reference"/>
    <w:basedOn w:val="a0"/>
    <w:uiPriority w:val="99"/>
    <w:semiHidden/>
    <w:unhideWhenUsed/>
    <w:rsid w:val="00DE0EC8"/>
    <w:rPr>
      <w:vertAlign w:val="superscript"/>
    </w:rPr>
  </w:style>
  <w:style w:type="paragraph" w:styleId="ac">
    <w:name w:val="Balloon Text"/>
    <w:basedOn w:val="a"/>
    <w:link w:val="ad"/>
    <w:uiPriority w:val="99"/>
    <w:semiHidden/>
    <w:unhideWhenUsed/>
    <w:rsid w:val="00DE0EC8"/>
    <w:rPr>
      <w:rFonts w:ascii="Tahoma" w:hAnsi="Tahoma" w:cs="Tahoma"/>
      <w:sz w:val="16"/>
      <w:szCs w:val="16"/>
    </w:rPr>
  </w:style>
  <w:style w:type="character" w:customStyle="1" w:styleId="ad">
    <w:name w:val="Текст выноски Знак"/>
    <w:basedOn w:val="a0"/>
    <w:link w:val="ac"/>
    <w:uiPriority w:val="99"/>
    <w:semiHidden/>
    <w:rsid w:val="00DE0E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E0EC8"/>
    <w:pPr>
      <w:spacing w:after="160" w:line="259" w:lineRule="auto"/>
      <w:ind w:left="720"/>
      <w:contextualSpacing/>
      <w:jc w:val="left"/>
    </w:pPr>
    <w:rPr>
      <w:rFonts w:ascii="Calibri" w:hAnsi="Calibri"/>
      <w:sz w:val="22"/>
      <w:szCs w:val="22"/>
    </w:rPr>
  </w:style>
  <w:style w:type="character" w:customStyle="1" w:styleId="a4">
    <w:name w:val="Абзац списка Знак"/>
    <w:link w:val="a3"/>
    <w:uiPriority w:val="34"/>
    <w:locked/>
    <w:rsid w:val="00DE0EC8"/>
    <w:rPr>
      <w:rFonts w:ascii="Calibri" w:hAnsi="Calibri"/>
      <w:sz w:val="22"/>
      <w:szCs w:val="22"/>
    </w:rPr>
  </w:style>
  <w:style w:type="paragraph" w:styleId="a5">
    <w:name w:val="footnote text"/>
    <w:basedOn w:val="a"/>
    <w:link w:val="a6"/>
    <w:uiPriority w:val="99"/>
    <w:unhideWhenUsed/>
    <w:rsid w:val="00DE0EC8"/>
    <w:pPr>
      <w:jc w:val="left"/>
    </w:pPr>
    <w:rPr>
      <w:rFonts w:ascii="Calibri" w:hAnsi="Calibri"/>
      <w:sz w:val="20"/>
      <w:szCs w:val="20"/>
    </w:rPr>
  </w:style>
  <w:style w:type="character" w:customStyle="1" w:styleId="a6">
    <w:name w:val="Текст сноски Знак"/>
    <w:basedOn w:val="a0"/>
    <w:link w:val="a5"/>
    <w:uiPriority w:val="99"/>
    <w:rsid w:val="00DE0EC8"/>
    <w:rPr>
      <w:rFonts w:ascii="Calibri" w:hAnsi="Calibri"/>
      <w:sz w:val="20"/>
      <w:szCs w:val="20"/>
    </w:rPr>
  </w:style>
  <w:style w:type="character" w:styleId="a7">
    <w:name w:val="footnote reference"/>
    <w:basedOn w:val="a0"/>
    <w:uiPriority w:val="99"/>
    <w:semiHidden/>
    <w:unhideWhenUsed/>
    <w:rsid w:val="00DE0EC8"/>
    <w:rPr>
      <w:vertAlign w:val="superscript"/>
    </w:rPr>
  </w:style>
  <w:style w:type="character" w:styleId="a8">
    <w:name w:val="Hyperlink"/>
    <w:basedOn w:val="a0"/>
    <w:uiPriority w:val="99"/>
    <w:unhideWhenUsed/>
    <w:rsid w:val="00DE0EC8"/>
    <w:rPr>
      <w:color w:val="0000FF"/>
      <w:u w:val="single"/>
    </w:rPr>
  </w:style>
  <w:style w:type="paragraph" w:styleId="a9">
    <w:name w:val="endnote text"/>
    <w:basedOn w:val="a"/>
    <w:link w:val="aa"/>
    <w:uiPriority w:val="99"/>
    <w:unhideWhenUsed/>
    <w:rsid w:val="00DE0EC8"/>
    <w:pPr>
      <w:jc w:val="left"/>
    </w:pPr>
    <w:rPr>
      <w:rFonts w:ascii="Calibri" w:hAnsi="Calibri"/>
      <w:sz w:val="20"/>
      <w:szCs w:val="20"/>
    </w:rPr>
  </w:style>
  <w:style w:type="character" w:customStyle="1" w:styleId="aa">
    <w:name w:val="Текст концевой сноски Знак"/>
    <w:basedOn w:val="a0"/>
    <w:link w:val="a9"/>
    <w:uiPriority w:val="99"/>
    <w:rsid w:val="00DE0EC8"/>
    <w:rPr>
      <w:rFonts w:ascii="Calibri" w:hAnsi="Calibri"/>
      <w:sz w:val="20"/>
      <w:szCs w:val="20"/>
    </w:rPr>
  </w:style>
  <w:style w:type="character" w:styleId="ab">
    <w:name w:val="endnote reference"/>
    <w:basedOn w:val="a0"/>
    <w:uiPriority w:val="99"/>
    <w:semiHidden/>
    <w:unhideWhenUsed/>
    <w:rsid w:val="00DE0EC8"/>
    <w:rPr>
      <w:vertAlign w:val="superscript"/>
    </w:rPr>
  </w:style>
  <w:style w:type="paragraph" w:styleId="ac">
    <w:name w:val="Balloon Text"/>
    <w:basedOn w:val="a"/>
    <w:link w:val="ad"/>
    <w:uiPriority w:val="99"/>
    <w:semiHidden/>
    <w:unhideWhenUsed/>
    <w:rsid w:val="00DE0EC8"/>
    <w:rPr>
      <w:rFonts w:ascii="Tahoma" w:hAnsi="Tahoma" w:cs="Tahoma"/>
      <w:sz w:val="16"/>
      <w:szCs w:val="16"/>
    </w:rPr>
  </w:style>
  <w:style w:type="character" w:customStyle="1" w:styleId="ad">
    <w:name w:val="Текст выноски Знак"/>
    <w:basedOn w:val="a0"/>
    <w:link w:val="ac"/>
    <w:uiPriority w:val="99"/>
    <w:semiHidden/>
    <w:rsid w:val="00DE0E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nk.gov.ua/ua/statistic/supervision-statist/data-supervision" TargetMode="External"/><Relationship Id="rId18" Type="http://schemas.openxmlformats.org/officeDocument/2006/relationships/hyperlink" Target="https://bank.gov.ua/ua/statistic/sector-financial/data-sector-financia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yperlink" Target="https://bank.gov.ua/ua/stability/npl" TargetMode="External"/><Relationship Id="rId2" Type="http://schemas.openxmlformats.org/officeDocument/2006/relationships/numbering" Target="numbering.xml"/><Relationship Id="rId16" Type="http://schemas.openxmlformats.org/officeDocument/2006/relationships/hyperlink" Target="https://bank.gov.ua/ua/statistic/supervision-statist/data-supervis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https://bank.gov.ua/ua/statistic/supervision-statist/data-supervision" TargetMode="External"/><Relationship Id="rId10" Type="http://schemas.openxmlformats.org/officeDocument/2006/relationships/chart" Target="charts/chart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s://databank.worldbank.org/reports.aspx?source=1250&amp;series=GFDD.SI.01"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415892978097049"/>
          <c:y val="1.969057665260197E-2"/>
          <c:w val="0.83394217986941732"/>
          <c:h val="0.78549864940351843"/>
        </c:manualLayout>
      </c:layout>
      <c:barChart>
        <c:barDir val="col"/>
        <c:grouping val="clustered"/>
        <c:varyColors val="0"/>
        <c:ser>
          <c:idx val="0"/>
          <c:order val="0"/>
          <c:tx>
            <c:strRef>
              <c:f>Осн.показ.БС!$B$2</c:f>
              <c:strCache>
                <c:ptCount val="1"/>
                <c:pt idx="0">
                  <c:v>Assets, billion UAH</c:v>
                </c:pt>
              </c:strCache>
            </c:strRef>
          </c:tx>
          <c:spPr>
            <a:pattFill prst="pct30">
              <a:fgClr>
                <a:schemeClr val="tx1"/>
              </a:fgClr>
              <a:bgClr>
                <a:schemeClr val="bg1"/>
              </a:bgClr>
            </a:pattFill>
          </c:spPr>
          <c:invertIfNegative val="0"/>
          <c:dLbls>
            <c:dLbl>
              <c:idx val="0"/>
              <c:layout>
                <c:manualLayout>
                  <c:x val="-1.6028851933480266E-2"/>
                  <c:y val="7.5117370892018778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D05-4D28-84D3-EC13A26F9B55}"/>
                </c:ext>
              </c:extLst>
            </c:dLbl>
            <c:spPr>
              <a:noFill/>
              <a:ln>
                <a:noFill/>
              </a:ln>
              <a:effectLst/>
            </c:spPr>
            <c:txPr>
              <a:bodyPr wrap="square" lIns="38100" tIns="19050" rIns="38100" bIns="19050" anchor="ctr">
                <a:spAutoFit/>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Осн.показ.БС!$H$1:$L$1</c:f>
              <c:numCache>
                <c:formatCode>m/d/yyyy</c:formatCode>
                <c:ptCount val="5"/>
                <c:pt idx="0">
                  <c:v>42370</c:v>
                </c:pt>
                <c:pt idx="1">
                  <c:v>42736</c:v>
                </c:pt>
                <c:pt idx="2">
                  <c:v>43101</c:v>
                </c:pt>
                <c:pt idx="3">
                  <c:v>43466</c:v>
                </c:pt>
                <c:pt idx="4">
                  <c:v>43831</c:v>
                </c:pt>
              </c:numCache>
            </c:numRef>
          </c:cat>
          <c:val>
            <c:numRef>
              <c:f>Осн.показ.БС!$H$2:$L$2</c:f>
              <c:numCache>
                <c:formatCode>0</c:formatCode>
                <c:ptCount val="5"/>
                <c:pt idx="0">
                  <c:v>1254.4000000000001</c:v>
                </c:pt>
                <c:pt idx="1">
                  <c:v>1256.3</c:v>
                </c:pt>
                <c:pt idx="2">
                  <c:v>1333.8</c:v>
                </c:pt>
                <c:pt idx="3">
                  <c:v>1359.7</c:v>
                </c:pt>
                <c:pt idx="4">
                  <c:v>1493.3</c:v>
                </c:pt>
              </c:numCache>
            </c:numRef>
          </c:val>
          <c:extLst xmlns:c16r2="http://schemas.microsoft.com/office/drawing/2015/06/chart">
            <c:ext xmlns:c16="http://schemas.microsoft.com/office/drawing/2014/chart" uri="{C3380CC4-5D6E-409C-BE32-E72D297353CC}">
              <c16:uniqueId val="{00000001-4D05-4D28-84D3-EC13A26F9B55}"/>
            </c:ext>
          </c:extLst>
        </c:ser>
        <c:ser>
          <c:idx val="1"/>
          <c:order val="1"/>
          <c:tx>
            <c:strRef>
              <c:f>Осн.показ.БС!$B$4</c:f>
              <c:strCache>
                <c:ptCount val="1"/>
                <c:pt idx="0">
                  <c:v>Capital, billion UAH</c:v>
                </c:pt>
              </c:strCache>
            </c:strRef>
          </c:tx>
          <c:spPr>
            <a:pattFill prst="pct80">
              <a:fgClr>
                <a:schemeClr val="tx1"/>
              </a:fgClr>
              <a:bgClr>
                <a:schemeClr val="bg1"/>
              </a:bgClr>
            </a:pattFill>
          </c:spPr>
          <c:invertIfNegative val="0"/>
          <c:dLbls>
            <c:spPr>
              <a:noFill/>
              <a:ln>
                <a:noFill/>
              </a:ln>
              <a:effectLst/>
            </c:spPr>
            <c:txPr>
              <a:bodyPr wrap="square" lIns="38100" tIns="19050" rIns="38100" bIns="19050" anchor="ctr">
                <a:spAutoFit/>
              </a:bodyPr>
              <a:lstStyle/>
              <a:p>
                <a:pPr>
                  <a:defRPr sz="1050" b="1">
                    <a:ln>
                      <a:noFill/>
                    </a:ln>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Осн.показ.БС!$H$1:$L$1</c:f>
              <c:numCache>
                <c:formatCode>m/d/yyyy</c:formatCode>
                <c:ptCount val="5"/>
                <c:pt idx="0">
                  <c:v>42370</c:v>
                </c:pt>
                <c:pt idx="1">
                  <c:v>42736</c:v>
                </c:pt>
                <c:pt idx="2">
                  <c:v>43101</c:v>
                </c:pt>
                <c:pt idx="3">
                  <c:v>43466</c:v>
                </c:pt>
                <c:pt idx="4">
                  <c:v>43831</c:v>
                </c:pt>
              </c:numCache>
            </c:numRef>
          </c:cat>
          <c:val>
            <c:numRef>
              <c:f>Осн.показ.БС!$H$4:$L$4</c:f>
              <c:numCache>
                <c:formatCode>0</c:formatCode>
                <c:ptCount val="5"/>
                <c:pt idx="0">
                  <c:v>103.7</c:v>
                </c:pt>
                <c:pt idx="1">
                  <c:v>123.8</c:v>
                </c:pt>
                <c:pt idx="2">
                  <c:v>161.1</c:v>
                </c:pt>
                <c:pt idx="3">
                  <c:v>155</c:v>
                </c:pt>
                <c:pt idx="4">
                  <c:v>199.9</c:v>
                </c:pt>
              </c:numCache>
            </c:numRef>
          </c:val>
          <c:extLst xmlns:c16r2="http://schemas.microsoft.com/office/drawing/2015/06/chart">
            <c:ext xmlns:c16="http://schemas.microsoft.com/office/drawing/2014/chart" uri="{C3380CC4-5D6E-409C-BE32-E72D297353CC}">
              <c16:uniqueId val="{00000002-4D05-4D28-84D3-EC13A26F9B55}"/>
            </c:ext>
          </c:extLst>
        </c:ser>
        <c:ser>
          <c:idx val="2"/>
          <c:order val="2"/>
          <c:tx>
            <c:strRef>
              <c:f>Осн.показ.БС!$B$3</c:f>
              <c:strCache>
                <c:ptCount val="1"/>
                <c:pt idx="0">
                  <c:v>Liabilities, billion UAH</c:v>
                </c:pt>
              </c:strCache>
            </c:strRef>
          </c:tx>
          <c:spPr>
            <a:pattFill prst="pct10">
              <a:fgClr>
                <a:schemeClr val="tx1"/>
              </a:fgClr>
              <a:bgClr>
                <a:schemeClr val="bg1"/>
              </a:bgClr>
            </a:pattFill>
          </c:spPr>
          <c:invertIfNegative val="0"/>
          <c:dLbls>
            <c:spPr>
              <a:noFill/>
              <a:ln>
                <a:noFill/>
              </a:ln>
              <a:effectLst/>
            </c:spPr>
            <c:txPr>
              <a:bodyPr wrap="square" lIns="38100" tIns="19050" rIns="38100" bIns="19050" anchor="ctr">
                <a:spAutoFit/>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Осн.показ.БС!$H$1:$L$1</c:f>
              <c:numCache>
                <c:formatCode>m/d/yyyy</c:formatCode>
                <c:ptCount val="5"/>
                <c:pt idx="0">
                  <c:v>42370</c:v>
                </c:pt>
                <c:pt idx="1">
                  <c:v>42736</c:v>
                </c:pt>
                <c:pt idx="2">
                  <c:v>43101</c:v>
                </c:pt>
                <c:pt idx="3">
                  <c:v>43466</c:v>
                </c:pt>
                <c:pt idx="4">
                  <c:v>43831</c:v>
                </c:pt>
              </c:numCache>
            </c:numRef>
          </c:cat>
          <c:val>
            <c:numRef>
              <c:f>Осн.показ.БС!$H$3:$L$3</c:f>
              <c:numCache>
                <c:formatCode>0</c:formatCode>
                <c:ptCount val="5"/>
                <c:pt idx="0">
                  <c:v>1150.7</c:v>
                </c:pt>
                <c:pt idx="1">
                  <c:v>1132.5</c:v>
                </c:pt>
                <c:pt idx="2">
                  <c:v>1172.7</c:v>
                </c:pt>
                <c:pt idx="3">
                  <c:v>1204.7</c:v>
                </c:pt>
                <c:pt idx="4">
                  <c:v>1293.4000000000001</c:v>
                </c:pt>
              </c:numCache>
            </c:numRef>
          </c:val>
          <c:extLst xmlns:c16r2="http://schemas.microsoft.com/office/drawing/2015/06/chart">
            <c:ext xmlns:c16="http://schemas.microsoft.com/office/drawing/2014/chart" uri="{C3380CC4-5D6E-409C-BE32-E72D297353CC}">
              <c16:uniqueId val="{00000003-4D05-4D28-84D3-EC13A26F9B55}"/>
            </c:ext>
          </c:extLst>
        </c:ser>
        <c:dLbls>
          <c:showLegendKey val="0"/>
          <c:showVal val="0"/>
          <c:showCatName val="0"/>
          <c:showSerName val="0"/>
          <c:showPercent val="0"/>
          <c:showBubbleSize val="0"/>
        </c:dLbls>
        <c:gapWidth val="150"/>
        <c:axId val="105572352"/>
        <c:axId val="105857024"/>
      </c:barChart>
      <c:lineChart>
        <c:grouping val="standard"/>
        <c:varyColors val="0"/>
        <c:ser>
          <c:idx val="3"/>
          <c:order val="3"/>
          <c:tx>
            <c:strRef>
              <c:f>Осн.показ.БС!$B$5</c:f>
              <c:strCache>
                <c:ptCount val="1"/>
                <c:pt idx="0">
                  <c:v>Number of operating banks (right axis)</c:v>
                </c:pt>
              </c:strCache>
            </c:strRef>
          </c:tx>
          <c:spPr>
            <a:ln>
              <a:solidFill>
                <a:schemeClr val="tx1"/>
              </a:solidFill>
            </a:ln>
          </c:spPr>
          <c:marker>
            <c:symbol val="diamond"/>
            <c:size val="7"/>
            <c:spPr>
              <a:solidFill>
                <a:schemeClr val="tx1"/>
              </a:solidFill>
              <a:ln>
                <a:solidFill>
                  <a:schemeClr val="tx1"/>
                </a:solidFill>
              </a:ln>
            </c:spPr>
          </c:marker>
          <c:dLbls>
            <c:dLbl>
              <c:idx val="1"/>
              <c:layout>
                <c:manualLayout>
                  <c:x val="-2.0562026567433569E-2"/>
                  <c:y val="4.1286864458398347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D05-4D28-84D3-EC13A26F9B55}"/>
                </c:ext>
              </c:extLst>
            </c:dLbl>
            <c:spPr>
              <a:noFill/>
              <a:ln>
                <a:noFill/>
              </a:ln>
              <a:effectLst/>
            </c:spPr>
            <c:txPr>
              <a:bodyPr/>
              <a:lstStyle/>
              <a:p>
                <a:pPr>
                  <a:defRPr sz="1050" b="1">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Осн.показ.БС!$H$1:$L$1</c:f>
              <c:numCache>
                <c:formatCode>m/d/yyyy</c:formatCode>
                <c:ptCount val="5"/>
                <c:pt idx="0">
                  <c:v>42370</c:v>
                </c:pt>
                <c:pt idx="1">
                  <c:v>42736</c:v>
                </c:pt>
                <c:pt idx="2">
                  <c:v>43101</c:v>
                </c:pt>
                <c:pt idx="3">
                  <c:v>43466</c:v>
                </c:pt>
                <c:pt idx="4">
                  <c:v>43831</c:v>
                </c:pt>
              </c:numCache>
            </c:numRef>
          </c:cat>
          <c:val>
            <c:numRef>
              <c:f>Осн.показ.БС!$H$5:$L$5</c:f>
              <c:numCache>
                <c:formatCode>0</c:formatCode>
                <c:ptCount val="5"/>
                <c:pt idx="0">
                  <c:v>117</c:v>
                </c:pt>
                <c:pt idx="1">
                  <c:v>96</c:v>
                </c:pt>
                <c:pt idx="2">
                  <c:v>82</c:v>
                </c:pt>
                <c:pt idx="3">
                  <c:v>77</c:v>
                </c:pt>
                <c:pt idx="4">
                  <c:v>75</c:v>
                </c:pt>
              </c:numCache>
            </c:numRef>
          </c:val>
          <c:smooth val="0"/>
          <c:extLst xmlns:c16r2="http://schemas.microsoft.com/office/drawing/2015/06/chart">
            <c:ext xmlns:c16="http://schemas.microsoft.com/office/drawing/2014/chart" uri="{C3380CC4-5D6E-409C-BE32-E72D297353CC}">
              <c16:uniqueId val="{00000005-4D05-4D28-84D3-EC13A26F9B55}"/>
            </c:ext>
          </c:extLst>
        </c:ser>
        <c:dLbls>
          <c:showLegendKey val="0"/>
          <c:showVal val="0"/>
          <c:showCatName val="0"/>
          <c:showSerName val="0"/>
          <c:showPercent val="0"/>
          <c:showBubbleSize val="0"/>
        </c:dLbls>
        <c:marker val="1"/>
        <c:smooth val="0"/>
        <c:axId val="105572864"/>
        <c:axId val="105857600"/>
      </c:lineChart>
      <c:dateAx>
        <c:axId val="105572352"/>
        <c:scaling>
          <c:orientation val="minMax"/>
        </c:scaling>
        <c:delete val="0"/>
        <c:axPos val="b"/>
        <c:numFmt formatCode="m/d/yyyy"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05857024"/>
        <c:crosses val="autoZero"/>
        <c:auto val="1"/>
        <c:lblOffset val="100"/>
        <c:baseTimeUnit val="years"/>
      </c:dateAx>
      <c:valAx>
        <c:axId val="105857024"/>
        <c:scaling>
          <c:orientation val="minMax"/>
          <c:max val="1600"/>
        </c:scaling>
        <c:delete val="0"/>
        <c:axPos val="l"/>
        <c:majorGridlines/>
        <c:numFmt formatCode="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05572352"/>
        <c:crosses val="autoZero"/>
        <c:crossBetween val="between"/>
        <c:minorUnit val="40"/>
      </c:valAx>
      <c:valAx>
        <c:axId val="105857600"/>
        <c:scaling>
          <c:orientation val="minMax"/>
        </c:scaling>
        <c:delete val="0"/>
        <c:axPos val="r"/>
        <c:numFmt formatCode="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05572864"/>
        <c:crosses val="max"/>
        <c:crossBetween val="between"/>
      </c:valAx>
      <c:dateAx>
        <c:axId val="105572864"/>
        <c:scaling>
          <c:orientation val="minMax"/>
        </c:scaling>
        <c:delete val="1"/>
        <c:axPos val="b"/>
        <c:numFmt formatCode="m/d/yyyy" sourceLinked="1"/>
        <c:majorTickMark val="out"/>
        <c:minorTickMark val="none"/>
        <c:tickLblPos val="nextTo"/>
        <c:crossAx val="105857600"/>
        <c:crosses val="autoZero"/>
        <c:auto val="1"/>
        <c:lblOffset val="100"/>
        <c:baseTimeUnit val="years"/>
      </c:dateAx>
    </c:plotArea>
    <c:legend>
      <c:legendPos val="b"/>
      <c:legendEntry>
        <c:idx val="0"/>
        <c:txPr>
          <a:bodyPr/>
          <a:lstStyle/>
          <a:p>
            <a:pPr>
              <a:defRPr sz="1000" baseline="0">
                <a:latin typeface="Times New Roman" pitchFamily="18" charset="0"/>
                <a:cs typeface="Times New Roman" pitchFamily="18" charset="0"/>
              </a:defRPr>
            </a:pPr>
            <a:endParaRPr lang="ru-RU"/>
          </a:p>
        </c:txPr>
      </c:legendEntry>
      <c:legendEntry>
        <c:idx val="1"/>
        <c:txPr>
          <a:bodyPr/>
          <a:lstStyle/>
          <a:p>
            <a:pPr>
              <a:defRPr sz="1000" baseline="0">
                <a:latin typeface="Times New Roman" pitchFamily="18" charset="0"/>
                <a:cs typeface="Times New Roman" pitchFamily="18" charset="0"/>
              </a:defRPr>
            </a:pPr>
            <a:endParaRPr lang="ru-RU"/>
          </a:p>
        </c:txPr>
      </c:legendEntry>
      <c:legendEntry>
        <c:idx val="2"/>
        <c:txPr>
          <a:bodyPr/>
          <a:lstStyle/>
          <a:p>
            <a:pPr>
              <a:defRPr sz="1000" baseline="0">
                <a:latin typeface="Times New Roman" pitchFamily="18" charset="0"/>
                <a:cs typeface="Times New Roman" pitchFamily="18" charset="0"/>
              </a:defRPr>
            </a:pPr>
            <a:endParaRPr lang="ru-RU"/>
          </a:p>
        </c:txPr>
      </c:legendEntry>
      <c:legendEntry>
        <c:idx val="3"/>
        <c:txPr>
          <a:bodyPr/>
          <a:lstStyle/>
          <a:p>
            <a:pPr>
              <a:defRPr sz="1000" baseline="0">
                <a:latin typeface="Times New Roman" pitchFamily="18" charset="0"/>
                <a:cs typeface="Times New Roman" pitchFamily="18" charset="0"/>
              </a:defRPr>
            </a:pPr>
            <a:endParaRPr lang="ru-RU"/>
          </a:p>
        </c:txPr>
      </c:legendEntry>
      <c:layout>
        <c:manualLayout>
          <c:xMode val="edge"/>
          <c:yMode val="edge"/>
          <c:x val="2.2465415855393307E-2"/>
          <c:y val="0.8957660904631819"/>
          <c:w val="0.971671682058732"/>
          <c:h val="0.10423398256066931"/>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'Ф-ціїї ІФС'!$A$14</c:f>
              <c:strCache>
                <c:ptCount val="1"/>
                <c:pt idx="0">
                  <c:v>Bank assets to GDP ratio</c:v>
                </c:pt>
              </c:strCache>
            </c:strRef>
          </c:tx>
          <c:spPr>
            <a:ln w="28575" cap="rnd">
              <a:solidFill>
                <a:schemeClr val="tx1"/>
              </a:solidFill>
              <a:round/>
            </a:ln>
            <a:effectLst/>
          </c:spPr>
          <c:marker>
            <c:symbol val="circle"/>
            <c:size val="6"/>
            <c:spPr>
              <a:solidFill>
                <a:schemeClr val="tx1"/>
              </a:solidFill>
              <a:ln w="9525">
                <a:solidFill>
                  <a:schemeClr val="tx1"/>
                </a:solidFill>
              </a:ln>
              <a:effectLst/>
            </c:spPr>
          </c:marker>
          <c:dLbls>
            <c:dLbl>
              <c:idx val="0"/>
              <c:layout/>
              <c:tx>
                <c:rich>
                  <a:bodyPr/>
                  <a:lstStyle/>
                  <a:p>
                    <a:r>
                      <a:rPr lang="en-US" b="1" i="0" baseline="0"/>
                      <a:t>82.98</a:t>
                    </a:r>
                    <a:endParaRPr lang="en-US"/>
                  </a:p>
                </c:rich>
              </c:tx>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Lst>
            </c:dLbl>
            <c:dLbl>
              <c:idx val="1"/>
              <c:layout/>
              <c:tx>
                <c:rich>
                  <a:bodyPr/>
                  <a:lstStyle/>
                  <a:p>
                    <a:r>
                      <a:rPr lang="en-US" b="1" i="0" baseline="0"/>
                      <a:t>63.08</a:t>
                    </a:r>
                    <a:endParaRPr lang="en-US"/>
                  </a:p>
                </c:rich>
              </c:tx>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Lst>
            </c:dLbl>
            <c:dLbl>
              <c:idx val="2"/>
              <c:layout/>
              <c:tx>
                <c:rich>
                  <a:bodyPr/>
                  <a:lstStyle/>
                  <a:p>
                    <a:r>
                      <a:rPr lang="en-US" b="1" i="0" baseline="0"/>
                      <a:t>52.67</a:t>
                    </a:r>
                    <a:endParaRPr lang="en-US"/>
                  </a:p>
                </c:rich>
              </c:tx>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Lst>
            </c:dLbl>
            <c:dLbl>
              <c:idx val="3"/>
              <c:layout/>
              <c:tx>
                <c:rich>
                  <a:bodyPr lIns="38100" tIns="19050" rIns="38100" bIns="19050">
                    <a:spAutoFit/>
                  </a:bodyPr>
                  <a:lstStyle/>
                  <a:p>
                    <a:pPr>
                      <a:defRPr b="1" i="0" baseline="0"/>
                    </a:pPr>
                    <a:r>
                      <a:rPr lang="en-US" b="1" i="0" baseline="0"/>
                      <a:t>44.70</a:t>
                    </a:r>
                    <a:endParaRPr lang="en-US"/>
                  </a:p>
                </c:rich>
              </c:tx>
              <c:sp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Lst>
            </c:dLbl>
            <c:dLbl>
              <c:idx val="4"/>
              <c:layout/>
              <c:tx>
                <c:rich>
                  <a:bodyPr/>
                  <a:lstStyle/>
                  <a:p>
                    <a:r>
                      <a:rPr lang="en-US" b="1" i="0" baseline="0"/>
                      <a:t>38.19</a:t>
                    </a:r>
                    <a:endParaRPr lang="en-US"/>
                  </a:p>
                </c:rich>
              </c:tx>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Lst>
            </c:dLbl>
            <c:dLbl>
              <c:idx val="5"/>
              <c:layout/>
              <c:tx>
                <c:rich>
                  <a:bodyPr/>
                  <a:lstStyle/>
                  <a:p>
                    <a:r>
                      <a:rPr lang="en-US" b="1" i="0" baseline="0"/>
                      <a:t>37.57</a:t>
                    </a:r>
                    <a:endParaRPr lang="en-US"/>
                  </a:p>
                </c:rich>
              </c:tx>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Lst>
            </c:dLbl>
            <c:spPr>
              <a:noFill/>
              <a:ln>
                <a:noFill/>
              </a:ln>
              <a:effectLst/>
            </c:spPr>
            <c:txPr>
              <a:bodyPr/>
              <a:lstStyle/>
              <a:p>
                <a:pPr>
                  <a:defRPr b="1" i="0" baseline="0"/>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'Ф-ціїї ІФС'!$B$13:$G$13</c:f>
              <c:numCache>
                <c:formatCode>m/d/yyyy</c:formatCode>
                <c:ptCount val="6"/>
                <c:pt idx="0">
                  <c:v>42005</c:v>
                </c:pt>
                <c:pt idx="1">
                  <c:v>42370</c:v>
                </c:pt>
                <c:pt idx="2">
                  <c:v>42736</c:v>
                </c:pt>
                <c:pt idx="3">
                  <c:v>43101</c:v>
                </c:pt>
                <c:pt idx="4">
                  <c:v>43466</c:v>
                </c:pt>
                <c:pt idx="5">
                  <c:v>43831</c:v>
                </c:pt>
              </c:numCache>
            </c:numRef>
          </c:cat>
          <c:val>
            <c:numRef>
              <c:f>'Ф-ціїї ІФС'!$B$14:$G$14</c:f>
              <c:numCache>
                <c:formatCode>0.00</c:formatCode>
                <c:ptCount val="6"/>
                <c:pt idx="0">
                  <c:v>82.981886238393372</c:v>
                </c:pt>
                <c:pt idx="1">
                  <c:v>63.080575536674068</c:v>
                </c:pt>
                <c:pt idx="2">
                  <c:v>52.666890351918596</c:v>
                </c:pt>
                <c:pt idx="3">
                  <c:v>44.701197969624808</c:v>
                </c:pt>
                <c:pt idx="4">
                  <c:v>38.187511304287256</c:v>
                </c:pt>
                <c:pt idx="5">
                  <c:v>37.571366318418825</c:v>
                </c:pt>
              </c:numCache>
            </c:numRef>
          </c:val>
          <c:smooth val="0"/>
          <c:extLst xmlns:c16r2="http://schemas.microsoft.com/office/drawing/2015/06/chart">
            <c:ext xmlns:c16="http://schemas.microsoft.com/office/drawing/2014/chart" uri="{C3380CC4-5D6E-409C-BE32-E72D297353CC}">
              <c16:uniqueId val="{00000000-52EB-49D7-A8F7-1582217160D4}"/>
            </c:ext>
          </c:extLst>
        </c:ser>
        <c:ser>
          <c:idx val="1"/>
          <c:order val="1"/>
          <c:tx>
            <c:strRef>
              <c:f>'Ф-ціїї ІФС'!$A$15</c:f>
              <c:strCache>
                <c:ptCount val="1"/>
                <c:pt idx="0">
                  <c:v>Bank loans to GDP ratio</c:v>
                </c:pt>
              </c:strCache>
            </c:strRef>
          </c:tx>
          <c:spPr>
            <a:ln w="28575" cap="rnd">
              <a:solidFill>
                <a:schemeClr val="tx1"/>
              </a:solidFill>
              <a:round/>
            </a:ln>
            <a:effectLst/>
          </c:spPr>
          <c:marker>
            <c:symbol val="square"/>
            <c:size val="6"/>
            <c:spPr>
              <a:solidFill>
                <a:schemeClr val="tx1"/>
              </a:solidFill>
              <a:ln w="9525">
                <a:solidFill>
                  <a:schemeClr val="tx1"/>
                </a:solidFill>
              </a:ln>
              <a:effectLst/>
            </c:spPr>
          </c:marker>
          <c:dLbls>
            <c:dLbl>
              <c:idx val="0"/>
              <c:layout/>
              <c:tx>
                <c:rich>
                  <a:bodyPr/>
                  <a:lstStyle/>
                  <a:p>
                    <a:r>
                      <a:rPr lang="en-US" b="1" i="0" baseline="0"/>
                      <a:t>63.42</a:t>
                    </a:r>
                    <a:endParaRPr lang="en-US"/>
                  </a:p>
                </c:rich>
              </c:tx>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Lst>
            </c:dLbl>
            <c:dLbl>
              <c:idx val="1"/>
              <c:layout/>
              <c:tx>
                <c:rich>
                  <a:bodyPr/>
                  <a:lstStyle/>
                  <a:p>
                    <a:r>
                      <a:rPr lang="en-US" b="1" i="0" baseline="0"/>
                      <a:t>50.78</a:t>
                    </a:r>
                    <a:endParaRPr lang="en-US"/>
                  </a:p>
                </c:rich>
              </c:tx>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Lst>
            </c:dLbl>
            <c:dLbl>
              <c:idx val="2"/>
              <c:layout>
                <c:manualLayout>
                  <c:x val="-5.0766035791660703E-2"/>
                  <c:y val="-4.0605703534681223E-2"/>
                </c:manualLayout>
              </c:layout>
              <c:tx>
                <c:rich>
                  <a:bodyPr/>
                  <a:lstStyle/>
                  <a:p>
                    <a:r>
                      <a:rPr lang="en-US" b="1" i="0" baseline="0"/>
                      <a:t>42.17</a:t>
                    </a:r>
                    <a:endParaRPr lang="en-US"/>
                  </a:p>
                </c:rich>
              </c:tx>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E-728A-4383-99AB-1E9BCDFA2ABE}"/>
                </c:ext>
              </c:extLst>
            </c:dLbl>
            <c:dLbl>
              <c:idx val="3"/>
              <c:layout>
                <c:manualLayout>
                  <c:x val="-6.9766154542402897E-2"/>
                  <c:y val="-5.3007522468124721E-2"/>
                </c:manualLayout>
              </c:layout>
              <c:tx>
                <c:rich>
                  <a:bodyPr/>
                  <a:lstStyle/>
                  <a:p>
                    <a:r>
                      <a:rPr lang="en-US" b="1" i="0" baseline="0"/>
                      <a:t>34.74</a:t>
                    </a:r>
                    <a:endParaRPr lang="en-US"/>
                  </a:p>
                </c:rich>
              </c:tx>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F-728A-4383-99AB-1E9BCDFA2ABE}"/>
                </c:ext>
              </c:extLst>
            </c:dLbl>
            <c:dLbl>
              <c:idx val="4"/>
              <c:layout>
                <c:manualLayout>
                  <c:x val="-1.5128964494411461E-2"/>
                  <c:y val="-3.2337908225868052E-2"/>
                </c:manualLayout>
              </c:layout>
              <c:tx>
                <c:rich>
                  <a:bodyPr/>
                  <a:lstStyle/>
                  <a:p>
                    <a:r>
                      <a:rPr lang="en-US" b="1" i="0" baseline="0"/>
                      <a:t>31.42</a:t>
                    </a:r>
                    <a:endParaRPr lang="en-US"/>
                  </a:p>
                </c:rich>
              </c:tx>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0-728A-4383-99AB-1E9BCDFA2ABE}"/>
                </c:ext>
              </c:extLst>
            </c:dLbl>
            <c:dLbl>
              <c:idx val="5"/>
              <c:layout/>
              <c:tx>
                <c:rich>
                  <a:bodyPr/>
                  <a:lstStyle/>
                  <a:p>
                    <a:r>
                      <a:rPr lang="en-US" b="1" i="0" baseline="0"/>
                      <a:t>26.00</a:t>
                    </a:r>
                    <a:endParaRPr lang="en-US"/>
                  </a:p>
                </c:rich>
              </c:tx>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Lst>
            </c:dLbl>
            <c:spPr>
              <a:noFill/>
              <a:ln>
                <a:noFill/>
              </a:ln>
              <a:effectLst/>
            </c:spPr>
            <c:txPr>
              <a:bodyPr/>
              <a:lstStyle/>
              <a:p>
                <a:pPr>
                  <a:defRPr b="1" i="0" baseline="0"/>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'Ф-ціїї ІФС'!$B$13:$G$13</c:f>
              <c:numCache>
                <c:formatCode>m/d/yyyy</c:formatCode>
                <c:ptCount val="6"/>
                <c:pt idx="0">
                  <c:v>42005</c:v>
                </c:pt>
                <c:pt idx="1">
                  <c:v>42370</c:v>
                </c:pt>
                <c:pt idx="2">
                  <c:v>42736</c:v>
                </c:pt>
                <c:pt idx="3">
                  <c:v>43101</c:v>
                </c:pt>
                <c:pt idx="4">
                  <c:v>43466</c:v>
                </c:pt>
                <c:pt idx="5">
                  <c:v>43831</c:v>
                </c:pt>
              </c:numCache>
            </c:numRef>
          </c:cat>
          <c:val>
            <c:numRef>
              <c:f>'Ф-ціїї ІФС'!$B$15:$G$15</c:f>
              <c:numCache>
                <c:formatCode>0.00</c:formatCode>
                <c:ptCount val="6"/>
                <c:pt idx="0">
                  <c:v>63.415998966548301</c:v>
                </c:pt>
                <c:pt idx="1">
                  <c:v>50.77927817595085</c:v>
                </c:pt>
                <c:pt idx="2">
                  <c:v>42.170577936716235</c:v>
                </c:pt>
                <c:pt idx="3">
                  <c:v>34.744839105567848</c:v>
                </c:pt>
                <c:pt idx="4">
                  <c:v>31.423390915453481</c:v>
                </c:pt>
                <c:pt idx="5">
                  <c:v>26.001090937270099</c:v>
                </c:pt>
              </c:numCache>
            </c:numRef>
          </c:val>
          <c:smooth val="0"/>
          <c:extLst xmlns:c16r2="http://schemas.microsoft.com/office/drawing/2015/06/chart">
            <c:ext xmlns:c16="http://schemas.microsoft.com/office/drawing/2014/chart" uri="{C3380CC4-5D6E-409C-BE32-E72D297353CC}">
              <c16:uniqueId val="{00000001-52EB-49D7-A8F7-1582217160D4}"/>
            </c:ext>
          </c:extLst>
        </c:ser>
        <c:ser>
          <c:idx val="2"/>
          <c:order val="2"/>
          <c:tx>
            <c:strRef>
              <c:f>'Ф-ціїї ІФС'!$A$16</c:f>
              <c:strCache>
                <c:ptCount val="1"/>
                <c:pt idx="0">
                  <c:v>Bank deposits to GDP ratio</c:v>
                </c:pt>
              </c:strCache>
            </c:strRef>
          </c:tx>
          <c:spPr>
            <a:ln w="28575" cap="rnd">
              <a:solidFill>
                <a:schemeClr val="bg1">
                  <a:lumMod val="50000"/>
                </a:schemeClr>
              </a:solidFill>
              <a:round/>
            </a:ln>
            <a:effectLst/>
          </c:spPr>
          <c:marker>
            <c:symbol val="triangle"/>
            <c:size val="6"/>
            <c:spPr>
              <a:solidFill>
                <a:schemeClr val="bg1">
                  <a:lumMod val="50000"/>
                </a:schemeClr>
              </a:solidFill>
              <a:ln w="9525">
                <a:solidFill>
                  <a:schemeClr val="bg1">
                    <a:lumMod val="50000"/>
                  </a:schemeClr>
                </a:solidFill>
              </a:ln>
              <a:effectLst/>
            </c:spPr>
          </c:marker>
          <c:dLbls>
            <c:dLbl>
              <c:idx val="0"/>
              <c:layout>
                <c:manualLayout>
                  <c:x val="-4.8391020947817935E-2"/>
                  <c:y val="6.2742787577348538E-2"/>
                </c:manualLayout>
              </c:layout>
              <c:tx>
                <c:rich>
                  <a:bodyPr/>
                  <a:lstStyle/>
                  <a:p>
                    <a:r>
                      <a:rPr lang="en-US" b="1" i="0" baseline="0"/>
                      <a:t>42.71</a:t>
                    </a:r>
                    <a:endParaRPr lang="en-US"/>
                  </a:p>
                </c:rich>
              </c:tx>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6-728A-4383-99AB-1E9BCDFA2ABE}"/>
                </c:ext>
              </c:extLst>
            </c:dLbl>
            <c:dLbl>
              <c:idx val="1"/>
              <c:layout>
                <c:manualLayout>
                  <c:x val="-5.7891080323189029E-2"/>
                  <c:y val="5.034096864390504E-2"/>
                </c:manualLayout>
              </c:layout>
              <c:tx>
                <c:rich>
                  <a:bodyPr/>
                  <a:lstStyle/>
                  <a:p>
                    <a:r>
                      <a:rPr lang="en-US" b="1" i="0" baseline="0"/>
                      <a:t>36.24</a:t>
                    </a:r>
                    <a:endParaRPr lang="en-US"/>
                  </a:p>
                </c:rich>
              </c:tx>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7-728A-4383-99AB-1E9BCDFA2ABE}"/>
                </c:ext>
              </c:extLst>
            </c:dLbl>
            <c:dLbl>
              <c:idx val="2"/>
              <c:layout>
                <c:manualLayout>
                  <c:x val="-5.3141050635503478E-2"/>
                  <c:y val="3.7939149710461396E-2"/>
                </c:manualLayout>
              </c:layout>
              <c:tx>
                <c:rich>
                  <a:bodyPr/>
                  <a:lstStyle/>
                  <a:p>
                    <a:r>
                      <a:rPr lang="en-US" b="1" i="0" baseline="0"/>
                      <a:t>33.83</a:t>
                    </a:r>
                    <a:endParaRPr lang="en-US"/>
                  </a:p>
                </c:rich>
              </c:tx>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8-728A-4383-99AB-1E9BCDFA2ABE}"/>
                </c:ext>
              </c:extLst>
            </c:dLbl>
            <c:dLbl>
              <c:idx val="3"/>
              <c:layout>
                <c:manualLayout>
                  <c:x val="-5.0766035791660793E-2"/>
                  <c:y val="2.9671270421499016E-2"/>
                </c:manualLayout>
              </c:layout>
              <c:tx>
                <c:rich>
                  <a:bodyPr/>
                  <a:lstStyle/>
                  <a:p>
                    <a:r>
                      <a:rPr lang="en-US" b="1" i="0" baseline="0"/>
                      <a:t>29.56</a:t>
                    </a:r>
                    <a:endParaRPr lang="en-US"/>
                  </a:p>
                </c:rich>
              </c:tx>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9-728A-4383-99AB-1E9BCDFA2ABE}"/>
                </c:ext>
              </c:extLst>
            </c:dLbl>
            <c:dLbl>
              <c:idx val="4"/>
              <c:layout>
                <c:manualLayout>
                  <c:x val="-5.0766035791660793E-2"/>
                  <c:y val="3.3805210065980279E-2"/>
                </c:manualLayout>
              </c:layout>
              <c:tx>
                <c:rich>
                  <a:bodyPr/>
                  <a:lstStyle/>
                  <a:p>
                    <a:r>
                      <a:rPr lang="en-US" b="1" i="0" baseline="0"/>
                      <a:t>25.69</a:t>
                    </a:r>
                    <a:endParaRPr lang="en-US"/>
                  </a:p>
                </c:rich>
              </c:tx>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A-728A-4383-99AB-1E9BCDFA2ABE}"/>
                </c:ext>
              </c:extLst>
            </c:dLbl>
            <c:dLbl>
              <c:idx val="5"/>
              <c:layout>
                <c:manualLayout>
                  <c:x val="-5.3141050635503652E-2"/>
                  <c:y val="3.3805210065980279E-2"/>
                </c:manualLayout>
              </c:layout>
              <c:tx>
                <c:rich>
                  <a:bodyPr/>
                  <a:lstStyle/>
                  <a:p>
                    <a:r>
                      <a:rPr lang="en-US" b="1" i="0" baseline="0"/>
                      <a:t>26.42</a:t>
                    </a:r>
                    <a:endParaRPr lang="en-US"/>
                  </a:p>
                </c:rich>
              </c:tx>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B-728A-4383-99AB-1E9BCDFA2ABE}"/>
                </c:ext>
              </c:extLst>
            </c:dLbl>
            <c:spPr>
              <a:noFill/>
              <a:ln>
                <a:noFill/>
              </a:ln>
              <a:effectLst/>
            </c:spPr>
            <c:txPr>
              <a:bodyPr/>
              <a:lstStyle/>
              <a:p>
                <a:pPr>
                  <a:defRPr b="1" i="0" baseline="0"/>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'Ф-ціїї ІФС'!$B$13:$G$13</c:f>
              <c:numCache>
                <c:formatCode>m/d/yyyy</c:formatCode>
                <c:ptCount val="6"/>
                <c:pt idx="0">
                  <c:v>42005</c:v>
                </c:pt>
                <c:pt idx="1">
                  <c:v>42370</c:v>
                </c:pt>
                <c:pt idx="2">
                  <c:v>42736</c:v>
                </c:pt>
                <c:pt idx="3">
                  <c:v>43101</c:v>
                </c:pt>
                <c:pt idx="4">
                  <c:v>43466</c:v>
                </c:pt>
                <c:pt idx="5">
                  <c:v>43831</c:v>
                </c:pt>
              </c:numCache>
            </c:numRef>
          </c:cat>
          <c:val>
            <c:numRef>
              <c:f>'Ф-ціїї ІФС'!$B$16:$G$16</c:f>
              <c:numCache>
                <c:formatCode>0.00</c:formatCode>
                <c:ptCount val="6"/>
                <c:pt idx="0">
                  <c:v>42.708210584687897</c:v>
                </c:pt>
                <c:pt idx="1">
                  <c:v>36.242819368820605</c:v>
                </c:pt>
                <c:pt idx="2">
                  <c:v>33.834026575989355</c:v>
                </c:pt>
                <c:pt idx="3">
                  <c:v>29.560652867640208</c:v>
                </c:pt>
                <c:pt idx="4">
                  <c:v>25.693001958099149</c:v>
                </c:pt>
                <c:pt idx="5">
                  <c:v>26.424835529129737</c:v>
                </c:pt>
              </c:numCache>
            </c:numRef>
          </c:val>
          <c:smooth val="0"/>
          <c:extLst xmlns:c16r2="http://schemas.microsoft.com/office/drawing/2015/06/chart">
            <c:ext xmlns:c16="http://schemas.microsoft.com/office/drawing/2014/chart" uri="{C3380CC4-5D6E-409C-BE32-E72D297353CC}">
              <c16:uniqueId val="{00000002-52EB-49D7-A8F7-1582217160D4}"/>
            </c:ext>
          </c:extLst>
        </c:ser>
        <c:ser>
          <c:idx val="3"/>
          <c:order val="3"/>
          <c:tx>
            <c:strRef>
              <c:f>'Ф-ціїї ІФС'!$A$17</c:f>
              <c:strCache>
                <c:ptCount val="1"/>
                <c:pt idx="0">
                  <c:v>Bank capital to GDP ratio</c:v>
                </c:pt>
              </c:strCache>
            </c:strRef>
          </c:tx>
          <c:spPr>
            <a:ln w="28575" cap="rnd">
              <a:solidFill>
                <a:schemeClr val="tx1">
                  <a:lumMod val="65000"/>
                  <a:lumOff val="35000"/>
                </a:schemeClr>
              </a:solidFill>
              <a:round/>
            </a:ln>
            <a:effectLst/>
          </c:spPr>
          <c:marker>
            <c:symbol val="diamond"/>
            <c:size val="6"/>
            <c:spPr>
              <a:solidFill>
                <a:schemeClr val="tx1">
                  <a:lumMod val="65000"/>
                  <a:lumOff val="35000"/>
                </a:schemeClr>
              </a:solidFill>
              <a:ln w="9525">
                <a:solidFill>
                  <a:schemeClr val="tx1">
                    <a:lumMod val="65000"/>
                    <a:lumOff val="35000"/>
                  </a:schemeClr>
                </a:solidFill>
              </a:ln>
              <a:effectLst/>
            </c:spPr>
          </c:marker>
          <c:dLbls>
            <c:dLbl>
              <c:idx val="0"/>
              <c:layout/>
              <c:tx>
                <c:rich>
                  <a:bodyPr/>
                  <a:lstStyle/>
                  <a:p>
                    <a:r>
                      <a:rPr lang="en-US" b="1" i="0" baseline="0"/>
                      <a:t>9.33</a:t>
                    </a:r>
                    <a:endParaRPr lang="en-US"/>
                  </a:p>
                </c:rich>
              </c:tx>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Lst>
            </c:dLbl>
            <c:dLbl>
              <c:idx val="1"/>
              <c:layout/>
              <c:tx>
                <c:rich>
                  <a:bodyPr/>
                  <a:lstStyle/>
                  <a:p>
                    <a:r>
                      <a:rPr lang="en-US" b="1" i="0" baseline="0"/>
                      <a:t>5.22</a:t>
                    </a:r>
                    <a:endParaRPr lang="en-US"/>
                  </a:p>
                </c:rich>
              </c:tx>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Lst>
            </c:dLbl>
            <c:dLbl>
              <c:idx val="2"/>
              <c:layout/>
              <c:tx>
                <c:rich>
                  <a:bodyPr/>
                  <a:lstStyle/>
                  <a:p>
                    <a:r>
                      <a:rPr lang="en-US" b="1" i="0" baseline="0"/>
                      <a:t>5.19</a:t>
                    </a:r>
                    <a:endParaRPr lang="en-US"/>
                  </a:p>
                </c:rich>
              </c:tx>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Lst>
            </c:dLbl>
            <c:dLbl>
              <c:idx val="3"/>
              <c:layout/>
              <c:tx>
                <c:rich>
                  <a:bodyPr/>
                  <a:lstStyle/>
                  <a:p>
                    <a:r>
                      <a:rPr lang="en-US" b="1" i="0" baseline="0"/>
                      <a:t>5.40</a:t>
                    </a:r>
                    <a:endParaRPr lang="en-US"/>
                  </a:p>
                </c:rich>
              </c:tx>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Lst>
            </c:dLbl>
            <c:dLbl>
              <c:idx val="4"/>
              <c:layout/>
              <c:tx>
                <c:rich>
                  <a:bodyPr/>
                  <a:lstStyle/>
                  <a:p>
                    <a:r>
                      <a:rPr lang="en-US" b="1" i="0" baseline="0"/>
                      <a:t>4.35</a:t>
                    </a:r>
                    <a:endParaRPr lang="en-US"/>
                  </a:p>
                </c:rich>
              </c:tx>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Lst>
            </c:dLbl>
            <c:dLbl>
              <c:idx val="5"/>
              <c:layout/>
              <c:tx>
                <c:rich>
                  <a:bodyPr/>
                  <a:lstStyle/>
                  <a:p>
                    <a:r>
                      <a:rPr lang="en-US" b="1" i="0" baseline="0"/>
                      <a:t>5.03</a:t>
                    </a:r>
                    <a:endParaRPr lang="en-US"/>
                  </a:p>
                </c:rich>
              </c:tx>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Lst>
            </c:dLbl>
            <c:spPr>
              <a:noFill/>
              <a:ln>
                <a:noFill/>
              </a:ln>
              <a:effectLst/>
            </c:spPr>
            <c:txPr>
              <a:bodyPr/>
              <a:lstStyle/>
              <a:p>
                <a:pPr>
                  <a:defRPr b="1" i="0" baseline="0"/>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'Ф-ціїї ІФС'!$B$13:$G$13</c:f>
              <c:numCache>
                <c:formatCode>m/d/yyyy</c:formatCode>
                <c:ptCount val="6"/>
                <c:pt idx="0">
                  <c:v>42005</c:v>
                </c:pt>
                <c:pt idx="1">
                  <c:v>42370</c:v>
                </c:pt>
                <c:pt idx="2">
                  <c:v>42736</c:v>
                </c:pt>
                <c:pt idx="3">
                  <c:v>43101</c:v>
                </c:pt>
                <c:pt idx="4">
                  <c:v>43466</c:v>
                </c:pt>
                <c:pt idx="5">
                  <c:v>43831</c:v>
                </c:pt>
              </c:numCache>
            </c:numRef>
          </c:cat>
          <c:val>
            <c:numRef>
              <c:f>'Ф-ціїї ІФС'!$B$17:$G$17</c:f>
              <c:numCache>
                <c:formatCode>0.00</c:formatCode>
                <c:ptCount val="6"/>
                <c:pt idx="0">
                  <c:v>9.3277207663926553</c:v>
                </c:pt>
                <c:pt idx="1">
                  <c:v>5.2155245244761996</c:v>
                </c:pt>
                <c:pt idx="2">
                  <c:v>5.1892912451060997</c:v>
                </c:pt>
                <c:pt idx="3">
                  <c:v>5.3992751724096326</c:v>
                </c:pt>
                <c:pt idx="4">
                  <c:v>4.3520803820483982</c:v>
                </c:pt>
                <c:pt idx="5">
                  <c:v>5.0300108389247224</c:v>
                </c:pt>
              </c:numCache>
            </c:numRef>
          </c:val>
          <c:smooth val="0"/>
          <c:extLst xmlns:c16r2="http://schemas.microsoft.com/office/drawing/2015/06/chart">
            <c:ext xmlns:c16="http://schemas.microsoft.com/office/drawing/2014/chart" uri="{C3380CC4-5D6E-409C-BE32-E72D297353CC}">
              <c16:uniqueId val="{00000003-52EB-49D7-A8F7-1582217160D4}"/>
            </c:ext>
          </c:extLst>
        </c:ser>
        <c:dLbls>
          <c:dLblPos val="t"/>
          <c:showLegendKey val="0"/>
          <c:showVal val="1"/>
          <c:showCatName val="0"/>
          <c:showSerName val="0"/>
          <c:showPercent val="0"/>
          <c:showBubbleSize val="0"/>
        </c:dLbls>
        <c:marker val="1"/>
        <c:smooth val="0"/>
        <c:axId val="105573376"/>
        <c:axId val="105859328"/>
      </c:lineChart>
      <c:dateAx>
        <c:axId val="105573376"/>
        <c:scaling>
          <c:orientation val="minMax"/>
        </c:scaling>
        <c:delete val="0"/>
        <c:axPos val="b"/>
        <c:numFmt formatCode="m/d/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05859328"/>
        <c:crosses val="autoZero"/>
        <c:auto val="1"/>
        <c:lblOffset val="100"/>
        <c:baseTimeUnit val="years"/>
      </c:dateAx>
      <c:valAx>
        <c:axId val="105859328"/>
        <c:scaling>
          <c:orientation val="minMax"/>
          <c:max val="90"/>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05573376"/>
        <c:crosses val="autoZero"/>
        <c:crossBetween val="between"/>
        <c:majorUnit val="10"/>
        <c:minorUnit val="2"/>
      </c:valAx>
      <c:spPr>
        <a:noFill/>
        <a:ln>
          <a:noFill/>
        </a:ln>
        <a:effectLst/>
      </c:spPr>
    </c:plotArea>
    <c:legend>
      <c:legendPos val="b"/>
      <c:layout/>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Капітал!$D$3</c:f>
              <c:strCache>
                <c:ptCount val="1"/>
                <c:pt idx="0">
                  <c:v>Authorized capital, UAH millions</c:v>
                </c:pt>
              </c:strCache>
            </c:strRef>
          </c:tx>
          <c:spPr>
            <a:pattFill prst="pct70">
              <a:fgClr>
                <a:schemeClr val="tx1"/>
              </a:fgClr>
              <a:bgClr>
                <a:schemeClr val="bg1"/>
              </a:bgClr>
            </a:pattFill>
          </c:spPr>
          <c:invertIfNegative val="0"/>
          <c:cat>
            <c:numRef>
              <c:f>Капітал!$E$2:$J$2</c:f>
              <c:numCache>
                <c:formatCode>m/d/yyyy</c:formatCode>
                <c:ptCount val="6"/>
                <c:pt idx="0">
                  <c:v>42005</c:v>
                </c:pt>
                <c:pt idx="1">
                  <c:v>42370</c:v>
                </c:pt>
                <c:pt idx="2">
                  <c:v>42736</c:v>
                </c:pt>
                <c:pt idx="3">
                  <c:v>43101</c:v>
                </c:pt>
                <c:pt idx="4">
                  <c:v>43466</c:v>
                </c:pt>
                <c:pt idx="5">
                  <c:v>43831</c:v>
                </c:pt>
              </c:numCache>
            </c:numRef>
          </c:cat>
          <c:val>
            <c:numRef>
              <c:f>Капітал!$E$3:$J$3</c:f>
              <c:numCache>
                <c:formatCode>0</c:formatCode>
                <c:ptCount val="6"/>
                <c:pt idx="0" formatCode="General">
                  <c:v>179207.5</c:v>
                </c:pt>
                <c:pt idx="1">
                  <c:v>222169.85465915001</c:v>
                </c:pt>
                <c:pt idx="2">
                  <c:v>414667.77078730997</c:v>
                </c:pt>
                <c:pt idx="3">
                  <c:v>495377</c:v>
                </c:pt>
                <c:pt idx="4">
                  <c:v>465532</c:v>
                </c:pt>
                <c:pt idx="5">
                  <c:v>470712</c:v>
                </c:pt>
              </c:numCache>
            </c:numRef>
          </c:val>
          <c:extLst xmlns:c16r2="http://schemas.microsoft.com/office/drawing/2015/06/chart">
            <c:ext xmlns:c16="http://schemas.microsoft.com/office/drawing/2014/chart" uri="{C3380CC4-5D6E-409C-BE32-E72D297353CC}">
              <c16:uniqueId val="{00000000-6E46-457D-911D-21F6561E29D1}"/>
            </c:ext>
          </c:extLst>
        </c:ser>
        <c:ser>
          <c:idx val="1"/>
          <c:order val="1"/>
          <c:tx>
            <c:strRef>
              <c:f>Капітал!$D$4</c:f>
              <c:strCache>
                <c:ptCount val="1"/>
                <c:pt idx="0">
                  <c:v>Equity, UAH millions</c:v>
                </c:pt>
              </c:strCache>
            </c:strRef>
          </c:tx>
          <c:spPr>
            <a:pattFill prst="zigZag">
              <a:fgClr>
                <a:schemeClr val="tx1"/>
              </a:fgClr>
              <a:bgClr>
                <a:schemeClr val="bg1"/>
              </a:bgClr>
            </a:pattFill>
          </c:spPr>
          <c:invertIfNegative val="0"/>
          <c:cat>
            <c:numRef>
              <c:f>Капітал!$E$2:$J$2</c:f>
              <c:numCache>
                <c:formatCode>m/d/yyyy</c:formatCode>
                <c:ptCount val="6"/>
                <c:pt idx="0">
                  <c:v>42005</c:v>
                </c:pt>
                <c:pt idx="1">
                  <c:v>42370</c:v>
                </c:pt>
                <c:pt idx="2">
                  <c:v>42736</c:v>
                </c:pt>
                <c:pt idx="3">
                  <c:v>43101</c:v>
                </c:pt>
                <c:pt idx="4">
                  <c:v>43466</c:v>
                </c:pt>
                <c:pt idx="5">
                  <c:v>43831</c:v>
                </c:pt>
              </c:numCache>
            </c:numRef>
          </c:cat>
          <c:val>
            <c:numRef>
              <c:f>Капітал!$E$4:$J$4</c:f>
              <c:numCache>
                <c:formatCode>0</c:formatCode>
                <c:ptCount val="6"/>
                <c:pt idx="0" formatCode="General">
                  <c:v>148062.20000000001</c:v>
                </c:pt>
                <c:pt idx="1">
                  <c:v>103713</c:v>
                </c:pt>
                <c:pt idx="2">
                  <c:v>123783.64089465</c:v>
                </c:pt>
                <c:pt idx="3">
                  <c:v>161108</c:v>
                </c:pt>
                <c:pt idx="4">
                  <c:v>154960</c:v>
                </c:pt>
                <c:pt idx="5">
                  <c:v>199921</c:v>
                </c:pt>
              </c:numCache>
            </c:numRef>
          </c:val>
          <c:extLst xmlns:c16r2="http://schemas.microsoft.com/office/drawing/2015/06/chart">
            <c:ext xmlns:c16="http://schemas.microsoft.com/office/drawing/2014/chart" uri="{C3380CC4-5D6E-409C-BE32-E72D297353CC}">
              <c16:uniqueId val="{00000001-6E46-457D-911D-21F6561E29D1}"/>
            </c:ext>
          </c:extLst>
        </c:ser>
        <c:ser>
          <c:idx val="2"/>
          <c:order val="2"/>
          <c:tx>
            <c:strRef>
              <c:f>Капітал!$D$5</c:f>
              <c:strCache>
                <c:ptCount val="1"/>
                <c:pt idx="0">
                  <c:v>Regulatory capital, UAH millions</c:v>
                </c:pt>
              </c:strCache>
            </c:strRef>
          </c:tx>
          <c:spPr>
            <a:pattFill prst="horzBrick">
              <a:fgClr>
                <a:schemeClr val="tx1"/>
              </a:fgClr>
              <a:bgClr>
                <a:schemeClr val="bg1"/>
              </a:bgClr>
            </a:pattFill>
          </c:spPr>
          <c:invertIfNegative val="0"/>
          <c:cat>
            <c:numRef>
              <c:f>Капітал!$E$2:$J$2</c:f>
              <c:numCache>
                <c:formatCode>m/d/yyyy</c:formatCode>
                <c:ptCount val="6"/>
                <c:pt idx="0">
                  <c:v>42005</c:v>
                </c:pt>
                <c:pt idx="1">
                  <c:v>42370</c:v>
                </c:pt>
                <c:pt idx="2">
                  <c:v>42736</c:v>
                </c:pt>
                <c:pt idx="3">
                  <c:v>43101</c:v>
                </c:pt>
                <c:pt idx="4">
                  <c:v>43466</c:v>
                </c:pt>
                <c:pt idx="5">
                  <c:v>43831</c:v>
                </c:pt>
              </c:numCache>
            </c:numRef>
          </c:cat>
          <c:val>
            <c:numRef>
              <c:f>Капітал!$E$5:$J$5</c:f>
              <c:numCache>
                <c:formatCode>0</c:formatCode>
                <c:ptCount val="6"/>
                <c:pt idx="0" formatCode="General">
                  <c:v>188948.9</c:v>
                </c:pt>
                <c:pt idx="1">
                  <c:v>129816.9</c:v>
                </c:pt>
                <c:pt idx="2">
                  <c:v>109653.6</c:v>
                </c:pt>
                <c:pt idx="3">
                  <c:v>115817.60000000001</c:v>
                </c:pt>
                <c:pt idx="4">
                  <c:v>126116.7</c:v>
                </c:pt>
                <c:pt idx="5">
                  <c:v>150313.79999999999</c:v>
                </c:pt>
              </c:numCache>
            </c:numRef>
          </c:val>
          <c:extLst xmlns:c16r2="http://schemas.microsoft.com/office/drawing/2015/06/chart">
            <c:ext xmlns:c16="http://schemas.microsoft.com/office/drawing/2014/chart" uri="{C3380CC4-5D6E-409C-BE32-E72D297353CC}">
              <c16:uniqueId val="{00000002-6E46-457D-911D-21F6561E29D1}"/>
            </c:ext>
          </c:extLst>
        </c:ser>
        <c:dLbls>
          <c:showLegendKey val="0"/>
          <c:showVal val="0"/>
          <c:showCatName val="0"/>
          <c:showSerName val="0"/>
          <c:showPercent val="0"/>
          <c:showBubbleSize val="0"/>
        </c:dLbls>
        <c:gapWidth val="150"/>
        <c:axId val="123425280"/>
        <c:axId val="105861056"/>
      </c:barChart>
      <c:lineChart>
        <c:grouping val="standard"/>
        <c:varyColors val="0"/>
        <c:ser>
          <c:idx val="3"/>
          <c:order val="3"/>
          <c:tx>
            <c:strRef>
              <c:f>Капітал!$D$6</c:f>
              <c:strCache>
                <c:ptCount val="1"/>
                <c:pt idx="0">
                  <c:v>Regulatory capital adequacy ratio (N2), % (right axis)</c:v>
                </c:pt>
              </c:strCache>
            </c:strRef>
          </c:tx>
          <c:spPr>
            <a:ln>
              <a:solidFill>
                <a:schemeClr val="tx1"/>
              </a:solidFill>
            </a:ln>
          </c:spPr>
          <c:marker>
            <c:symbol val="triangle"/>
            <c:size val="5"/>
            <c:spPr>
              <a:solidFill>
                <a:schemeClr val="tx1"/>
              </a:solidFill>
              <a:ln>
                <a:solidFill>
                  <a:schemeClr val="tx1"/>
                </a:solidFill>
              </a:ln>
            </c:spPr>
          </c:marker>
          <c:dLbls>
            <c:dLbl>
              <c:idx val="0"/>
              <c:layout>
                <c:manualLayout>
                  <c:x val="-4.1715464104694171E-2"/>
                  <c:y val="-4.613100418175736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E46-457D-911D-21F6561E29D1}"/>
                </c:ext>
              </c:extLst>
            </c:dLbl>
            <c:dLbl>
              <c:idx val="1"/>
              <c:layout>
                <c:manualLayout>
                  <c:x val="-4.7403936482607011E-2"/>
                  <c:y val="4.997495183335931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E46-457D-911D-21F6561E29D1}"/>
                </c:ext>
              </c:extLst>
            </c:dLbl>
            <c:dLbl>
              <c:idx val="2"/>
              <c:layout>
                <c:manualLayout>
                  <c:x val="-2.6546204430259995E-2"/>
                  <c:y val="4.99752545302371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E46-457D-911D-21F6561E29D1}"/>
                </c:ext>
              </c:extLst>
            </c:dLbl>
            <c:dLbl>
              <c:idx val="3"/>
              <c:layout>
                <c:manualLayout>
                  <c:x val="-2.2050716648291068E-2"/>
                  <c:y val="5.901044030867003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6E46-457D-911D-21F6561E29D1}"/>
                </c:ext>
              </c:extLst>
            </c:dLbl>
            <c:dLbl>
              <c:idx val="4"/>
              <c:layout>
                <c:manualLayout>
                  <c:x val="-1.7640573318632856E-2"/>
                  <c:y val="4.085338175215615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6E46-457D-911D-21F6561E29D1}"/>
                </c:ext>
              </c:extLst>
            </c:dLbl>
            <c:dLbl>
              <c:idx val="5"/>
              <c:layout>
                <c:manualLayout>
                  <c:x val="-1.5435501653803748E-2"/>
                  <c:y val="3.631411711302769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6E46-457D-911D-21F6561E29D1}"/>
                </c:ext>
              </c:extLst>
            </c:dLbl>
            <c:spPr>
              <a:noFill/>
              <a:ln>
                <a:noFill/>
              </a:ln>
              <a:effectLst/>
            </c:spPr>
            <c:txPr>
              <a:bodyPr/>
              <a:lstStyle/>
              <a:p>
                <a:pPr>
                  <a:defRPr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Капітал!$E$6:$J$6</c:f>
              <c:numCache>
                <c:formatCode>General</c:formatCode>
                <c:ptCount val="6"/>
                <c:pt idx="0">
                  <c:v>15.6</c:v>
                </c:pt>
                <c:pt idx="1">
                  <c:v>12.31</c:v>
                </c:pt>
                <c:pt idx="2">
                  <c:v>12.69</c:v>
                </c:pt>
                <c:pt idx="3" formatCode="0.00">
                  <c:v>16.100000000000001</c:v>
                </c:pt>
                <c:pt idx="4" formatCode="0.00">
                  <c:v>16.18</c:v>
                </c:pt>
                <c:pt idx="5" formatCode="0.00">
                  <c:v>19.66</c:v>
                </c:pt>
              </c:numCache>
            </c:numRef>
          </c:val>
          <c:smooth val="0"/>
          <c:extLst xmlns:c16r2="http://schemas.microsoft.com/office/drawing/2015/06/chart">
            <c:ext xmlns:c16="http://schemas.microsoft.com/office/drawing/2014/chart" uri="{C3380CC4-5D6E-409C-BE32-E72D297353CC}">
              <c16:uniqueId val="{00000006-6E46-457D-911D-21F6561E29D1}"/>
            </c:ext>
          </c:extLst>
        </c:ser>
        <c:ser>
          <c:idx val="4"/>
          <c:order val="4"/>
          <c:tx>
            <c:strRef>
              <c:f>Капітал!$D$7</c:f>
              <c:strCache>
                <c:ptCount val="1"/>
                <c:pt idx="0">
                  <c:v>Tier 1 capital adequacy ratio (N3), % (right axis)</c:v>
                </c:pt>
              </c:strCache>
            </c:strRef>
          </c:tx>
          <c:spPr>
            <a:ln>
              <a:solidFill>
                <a:schemeClr val="tx1"/>
              </a:solidFill>
            </a:ln>
          </c:spPr>
          <c:marker>
            <c:symbol val="square"/>
            <c:size val="5"/>
            <c:spPr>
              <a:solidFill>
                <a:schemeClr val="tx1"/>
              </a:solidFill>
              <a:ln>
                <a:solidFill>
                  <a:schemeClr val="tx1"/>
                </a:solidFill>
              </a:ln>
            </c:spPr>
          </c:marker>
          <c:dLbls>
            <c:dLbl>
              <c:idx val="0"/>
              <c:layout>
                <c:manualLayout>
                  <c:x val="-4.1715464104694171E-2"/>
                  <c:y val="-3.844250348479780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6E46-457D-911D-21F6561E29D1}"/>
                </c:ext>
              </c:extLst>
            </c:dLbl>
            <c:dLbl>
              <c:idx val="1"/>
              <c:layout>
                <c:manualLayout>
                  <c:x val="-3.2234676808172769E-2"/>
                  <c:y val="-4.99752545302371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6E46-457D-911D-21F6561E29D1}"/>
                </c:ext>
              </c:extLst>
            </c:dLbl>
            <c:dLbl>
              <c:idx val="2"/>
              <c:layout>
                <c:manualLayout>
                  <c:x val="7.5846298372170525E-3"/>
                  <c:y val="-7.6885006969595613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6E46-457D-911D-21F6561E29D1}"/>
                </c:ext>
              </c:extLst>
            </c:dLbl>
            <c:dLbl>
              <c:idx val="4"/>
              <c:layout>
                <c:manualLayout>
                  <c:x val="-2.2050716648291151E-2"/>
                  <c:y val="2.723558783477076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6E46-457D-911D-21F6561E29D1}"/>
                </c:ext>
              </c:extLst>
            </c:dLbl>
            <c:dLbl>
              <c:idx val="5"/>
              <c:layout>
                <c:manualLayout>
                  <c:x val="-1.5435501653803748E-2"/>
                  <c:y val="6.808896958692692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6E46-457D-911D-21F6561E29D1}"/>
                </c:ext>
              </c:extLst>
            </c:dLbl>
            <c:spPr>
              <a:noFill/>
              <a:ln>
                <a:noFill/>
              </a:ln>
              <a:effectLst/>
            </c:spPr>
            <c:txPr>
              <a:bodyPr/>
              <a:lstStyle/>
              <a:p>
                <a:pPr>
                  <a:defRPr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Капітал!$E$7:$J$7</c:f>
              <c:numCache>
                <c:formatCode>General</c:formatCode>
                <c:ptCount val="6"/>
                <c:pt idx="4">
                  <c:v>10.43</c:v>
                </c:pt>
                <c:pt idx="5" formatCode="0.00">
                  <c:v>13.5</c:v>
                </c:pt>
              </c:numCache>
            </c:numRef>
          </c:val>
          <c:smooth val="0"/>
          <c:extLst xmlns:c16r2="http://schemas.microsoft.com/office/drawing/2015/06/chart">
            <c:ext xmlns:c16="http://schemas.microsoft.com/office/drawing/2014/chart" uri="{C3380CC4-5D6E-409C-BE32-E72D297353CC}">
              <c16:uniqueId val="{0000000A-6E46-457D-911D-21F6561E29D1}"/>
            </c:ext>
          </c:extLst>
        </c:ser>
        <c:dLbls>
          <c:showLegendKey val="0"/>
          <c:showVal val="0"/>
          <c:showCatName val="0"/>
          <c:showSerName val="0"/>
          <c:showPercent val="0"/>
          <c:showBubbleSize val="0"/>
        </c:dLbls>
        <c:marker val="1"/>
        <c:smooth val="0"/>
        <c:axId val="123058688"/>
        <c:axId val="105861632"/>
      </c:lineChart>
      <c:dateAx>
        <c:axId val="123425280"/>
        <c:scaling>
          <c:orientation val="minMax"/>
        </c:scaling>
        <c:delete val="0"/>
        <c:axPos val="b"/>
        <c:numFmt formatCode="m/d/yyyy" sourceLinked="1"/>
        <c:majorTickMark val="out"/>
        <c:minorTickMark val="none"/>
        <c:tickLblPos val="nextTo"/>
        <c:txPr>
          <a:bodyPr/>
          <a:lstStyle/>
          <a:p>
            <a:pPr>
              <a:defRPr sz="1000" baseline="0">
                <a:latin typeface="Times New Roman" panose="02020603050405020304" pitchFamily="18" charset="0"/>
                <a:cs typeface="Times New Roman" panose="02020603050405020304" pitchFamily="18" charset="0"/>
              </a:defRPr>
            </a:pPr>
            <a:endParaRPr lang="ru-RU"/>
          </a:p>
        </c:txPr>
        <c:crossAx val="105861056"/>
        <c:crosses val="autoZero"/>
        <c:auto val="1"/>
        <c:lblOffset val="100"/>
        <c:baseTimeUnit val="years"/>
      </c:dateAx>
      <c:valAx>
        <c:axId val="105861056"/>
        <c:scaling>
          <c:orientation val="minMax"/>
        </c:scaling>
        <c:delete val="0"/>
        <c:axPos val="l"/>
        <c:majorGridlines/>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23425280"/>
        <c:crosses val="autoZero"/>
        <c:crossBetween val="between"/>
      </c:valAx>
      <c:valAx>
        <c:axId val="105861632"/>
        <c:scaling>
          <c:orientation val="minMax"/>
        </c:scaling>
        <c:delete val="0"/>
        <c:axPos val="r"/>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23058688"/>
        <c:crosses val="max"/>
        <c:crossBetween val="between"/>
      </c:valAx>
      <c:catAx>
        <c:axId val="123058688"/>
        <c:scaling>
          <c:orientation val="minMax"/>
        </c:scaling>
        <c:delete val="1"/>
        <c:axPos val="b"/>
        <c:numFmt formatCode="m/d/yyyy" sourceLinked="1"/>
        <c:majorTickMark val="out"/>
        <c:minorTickMark val="none"/>
        <c:tickLblPos val="nextTo"/>
        <c:crossAx val="105861632"/>
        <c:crosses val="autoZero"/>
        <c:auto val="1"/>
        <c:lblAlgn val="ctr"/>
        <c:lblOffset val="100"/>
        <c:noMultiLvlLbl val="1"/>
      </c:catAx>
    </c:plotArea>
    <c:legend>
      <c:legendPos val="r"/>
      <c:layout>
        <c:manualLayout>
          <c:xMode val="edge"/>
          <c:yMode val="edge"/>
          <c:x val="0.65409236242163948"/>
          <c:y val="3.7675647686896276E-2"/>
          <c:w val="0.33268449708249281"/>
          <c:h val="0.92997803845947824"/>
        </c:manualLayout>
      </c:layout>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0581760454166568E-2"/>
          <c:y val="3.1832822806457071E-2"/>
          <c:w val="0.78647948917758992"/>
          <c:h val="0.66070684969688509"/>
        </c:manualLayout>
      </c:layout>
      <c:barChart>
        <c:barDir val="col"/>
        <c:grouping val="clustered"/>
        <c:varyColors val="0"/>
        <c:ser>
          <c:idx val="0"/>
          <c:order val="0"/>
          <c:tx>
            <c:strRef>
              <c:f>Резерви!$A$21</c:f>
              <c:strCache>
                <c:ptCount val="1"/>
                <c:pt idx="0">
                  <c:v>Total amount of bank loans, UAH millions</c:v>
                </c:pt>
              </c:strCache>
            </c:strRef>
          </c:tx>
          <c:spPr>
            <a:pattFill prst="trellis">
              <a:fgClr>
                <a:schemeClr val="tx1"/>
              </a:fgClr>
              <a:bgClr>
                <a:schemeClr val="bg1"/>
              </a:bgClr>
            </a:pattFill>
            <a:ln>
              <a:solidFill>
                <a:schemeClr val="tx1"/>
              </a:solidFill>
            </a:ln>
            <a:effectLst/>
          </c:spPr>
          <c:invertIfNegative val="0"/>
          <c:cat>
            <c:numRef>
              <c:f>Резерви!$B$20:$F$20</c:f>
              <c:numCache>
                <c:formatCode>m/d/yyyy</c:formatCode>
                <c:ptCount val="5"/>
                <c:pt idx="0">
                  <c:v>42370</c:v>
                </c:pt>
                <c:pt idx="1">
                  <c:v>42736</c:v>
                </c:pt>
                <c:pt idx="2">
                  <c:v>43101</c:v>
                </c:pt>
                <c:pt idx="3">
                  <c:v>43466</c:v>
                </c:pt>
                <c:pt idx="4">
                  <c:v>43831</c:v>
                </c:pt>
              </c:numCache>
            </c:numRef>
          </c:cat>
          <c:val>
            <c:numRef>
              <c:f>Резерви!$B$21:$F$21</c:f>
              <c:numCache>
                <c:formatCode>General</c:formatCode>
                <c:ptCount val="5"/>
                <c:pt idx="0">
                  <c:v>994655.49090235005</c:v>
                </c:pt>
                <c:pt idx="1">
                  <c:v>992412.93171515001</c:v>
                </c:pt>
                <c:pt idx="2">
                  <c:v>1067049.3598214604</c:v>
                </c:pt>
                <c:pt idx="3">
                  <c:v>1118860.2104925599</c:v>
                </c:pt>
                <c:pt idx="4">
                  <c:v>1033430.0401426301</c:v>
                </c:pt>
              </c:numCache>
            </c:numRef>
          </c:val>
          <c:extLst xmlns:c16r2="http://schemas.microsoft.com/office/drawing/2015/06/chart">
            <c:ext xmlns:c16="http://schemas.microsoft.com/office/drawing/2014/chart" uri="{C3380CC4-5D6E-409C-BE32-E72D297353CC}">
              <c16:uniqueId val="{00000000-5645-45D9-9B13-C72BF7CAF1D8}"/>
            </c:ext>
          </c:extLst>
        </c:ser>
        <c:ser>
          <c:idx val="1"/>
          <c:order val="1"/>
          <c:tx>
            <c:strRef>
              <c:f>Резерви!$A$22</c:f>
              <c:strCache>
                <c:ptCount val="1"/>
                <c:pt idx="0">
                  <c:v>Amount of net bank loans, UAH millions</c:v>
                </c:pt>
              </c:strCache>
            </c:strRef>
          </c:tx>
          <c:spPr>
            <a:solidFill>
              <a:schemeClr val="bg1">
                <a:lumMod val="75000"/>
              </a:schemeClr>
            </a:solidFill>
            <a:ln>
              <a:solidFill>
                <a:schemeClr val="tx1"/>
              </a:solidFill>
            </a:ln>
            <a:effectLst/>
          </c:spPr>
          <c:invertIfNegative val="0"/>
          <c:cat>
            <c:numRef>
              <c:f>Резерви!$B$20:$F$20</c:f>
              <c:numCache>
                <c:formatCode>m/d/yyyy</c:formatCode>
                <c:ptCount val="5"/>
                <c:pt idx="0">
                  <c:v>42370</c:v>
                </c:pt>
                <c:pt idx="1">
                  <c:v>42736</c:v>
                </c:pt>
                <c:pt idx="2">
                  <c:v>43101</c:v>
                </c:pt>
                <c:pt idx="3">
                  <c:v>43466</c:v>
                </c:pt>
                <c:pt idx="4">
                  <c:v>43831</c:v>
                </c:pt>
              </c:numCache>
            </c:numRef>
          </c:cat>
          <c:val>
            <c:numRef>
              <c:f>Резерви!$B$22:$F$22</c:f>
              <c:numCache>
                <c:formatCode>General</c:formatCode>
                <c:ptCount val="5"/>
                <c:pt idx="0">
                  <c:v>697663.80858486006</c:v>
                </c:pt>
                <c:pt idx="1">
                  <c:v>538706.66542565986</c:v>
                </c:pt>
                <c:pt idx="2">
                  <c:v>561328.19264864014</c:v>
                </c:pt>
                <c:pt idx="3">
                  <c:v>588566.66988763993</c:v>
                </c:pt>
                <c:pt idx="4">
                  <c:v>562161.44982421002</c:v>
                </c:pt>
              </c:numCache>
            </c:numRef>
          </c:val>
          <c:extLst xmlns:c16r2="http://schemas.microsoft.com/office/drawing/2015/06/chart">
            <c:ext xmlns:c16="http://schemas.microsoft.com/office/drawing/2014/chart" uri="{C3380CC4-5D6E-409C-BE32-E72D297353CC}">
              <c16:uniqueId val="{00000001-5645-45D9-9B13-C72BF7CAF1D8}"/>
            </c:ext>
          </c:extLst>
        </c:ser>
        <c:ser>
          <c:idx val="2"/>
          <c:order val="2"/>
          <c:tx>
            <c:strRef>
              <c:f>Резерви!$A$23</c:f>
              <c:strCache>
                <c:ptCount val="1"/>
                <c:pt idx="0">
                  <c:v>Provisions for loan impairment, UAH millions</c:v>
                </c:pt>
              </c:strCache>
            </c:strRef>
          </c:tx>
          <c:spPr>
            <a:solidFill>
              <a:schemeClr val="tx1">
                <a:lumMod val="75000"/>
                <a:lumOff val="25000"/>
              </a:schemeClr>
            </a:solidFill>
            <a:ln>
              <a:solidFill>
                <a:schemeClr val="tx1"/>
              </a:solidFill>
            </a:ln>
            <a:effectLst/>
          </c:spPr>
          <c:invertIfNegative val="0"/>
          <c:cat>
            <c:numRef>
              <c:f>Резерви!$B$20:$F$20</c:f>
              <c:numCache>
                <c:formatCode>m/d/yyyy</c:formatCode>
                <c:ptCount val="5"/>
                <c:pt idx="0">
                  <c:v>42370</c:v>
                </c:pt>
                <c:pt idx="1">
                  <c:v>42736</c:v>
                </c:pt>
                <c:pt idx="2">
                  <c:v>43101</c:v>
                </c:pt>
                <c:pt idx="3">
                  <c:v>43466</c:v>
                </c:pt>
                <c:pt idx="4">
                  <c:v>43831</c:v>
                </c:pt>
              </c:numCache>
            </c:numRef>
          </c:cat>
          <c:val>
            <c:numRef>
              <c:f>Резерви!$B$23:$F$23</c:f>
              <c:numCache>
                <c:formatCode>0</c:formatCode>
                <c:ptCount val="5"/>
                <c:pt idx="0">
                  <c:v>296991.68231748999</c:v>
                </c:pt>
                <c:pt idx="1">
                  <c:v>453706.26628949004</c:v>
                </c:pt>
                <c:pt idx="2">
                  <c:v>505721.16717282031</c:v>
                </c:pt>
                <c:pt idx="3">
                  <c:v>530293.54060492001</c:v>
                </c:pt>
                <c:pt idx="4">
                  <c:v>471268.59031841997</c:v>
                </c:pt>
              </c:numCache>
            </c:numRef>
          </c:val>
          <c:extLst xmlns:c16r2="http://schemas.microsoft.com/office/drawing/2015/06/chart">
            <c:ext xmlns:c16="http://schemas.microsoft.com/office/drawing/2014/chart" uri="{C3380CC4-5D6E-409C-BE32-E72D297353CC}">
              <c16:uniqueId val="{00000002-5645-45D9-9B13-C72BF7CAF1D8}"/>
            </c:ext>
          </c:extLst>
        </c:ser>
        <c:dLbls>
          <c:showLegendKey val="0"/>
          <c:showVal val="0"/>
          <c:showCatName val="0"/>
          <c:showSerName val="0"/>
          <c:showPercent val="0"/>
          <c:showBubbleSize val="0"/>
        </c:dLbls>
        <c:gapWidth val="219"/>
        <c:overlap val="-27"/>
        <c:axId val="123426816"/>
        <c:axId val="105863360"/>
      </c:barChart>
      <c:lineChart>
        <c:grouping val="standard"/>
        <c:varyColors val="0"/>
        <c:ser>
          <c:idx val="3"/>
          <c:order val="3"/>
          <c:tx>
            <c:strRef>
              <c:f>Резерви!$A$24</c:f>
              <c:strCache>
                <c:ptCount val="1"/>
                <c:pt idx="0">
                  <c:v>Loan protection, % (right axis)</c:v>
                </c:pt>
              </c:strCache>
            </c:strRef>
          </c:tx>
          <c:spPr>
            <a:ln w="25400" cap="rnd">
              <a:solidFill>
                <a:schemeClr val="tx1"/>
              </a:solidFill>
              <a:round/>
            </a:ln>
            <a:effectLst/>
          </c:spPr>
          <c:marker>
            <c:symbol val="triangle"/>
            <c:size val="8"/>
            <c:spPr>
              <a:solidFill>
                <a:schemeClr val="tx1">
                  <a:lumMod val="85000"/>
                  <a:lumOff val="15000"/>
                </a:schemeClr>
              </a:solidFill>
              <a:ln w="9525">
                <a:solidFill>
                  <a:schemeClr val="accent4"/>
                </a:solidFill>
              </a:ln>
              <a:effectLst/>
            </c:spPr>
          </c:marker>
          <c:cat>
            <c:numRef>
              <c:f>Резерви!$B$20:$F$20</c:f>
              <c:numCache>
                <c:formatCode>m/d/yyyy</c:formatCode>
                <c:ptCount val="5"/>
                <c:pt idx="0">
                  <c:v>42370</c:v>
                </c:pt>
                <c:pt idx="1">
                  <c:v>42736</c:v>
                </c:pt>
                <c:pt idx="2">
                  <c:v>43101</c:v>
                </c:pt>
                <c:pt idx="3">
                  <c:v>43466</c:v>
                </c:pt>
                <c:pt idx="4">
                  <c:v>43831</c:v>
                </c:pt>
              </c:numCache>
            </c:numRef>
          </c:cat>
          <c:val>
            <c:numRef>
              <c:f>Резерви!$B$24:$F$24</c:f>
              <c:numCache>
                <c:formatCode>0%</c:formatCode>
                <c:ptCount val="5"/>
                <c:pt idx="0">
                  <c:v>0.29858748585207079</c:v>
                </c:pt>
                <c:pt idx="1">
                  <c:v>0.45717488334756634</c:v>
                </c:pt>
                <c:pt idx="2">
                  <c:v>0.4739435552048295</c:v>
                </c:pt>
                <c:pt idx="3">
                  <c:v>0.47395870872150059</c:v>
                </c:pt>
                <c:pt idx="4">
                  <c:v>0.45602369973044066</c:v>
                </c:pt>
              </c:numCache>
            </c:numRef>
          </c:val>
          <c:smooth val="0"/>
          <c:extLst xmlns:c16r2="http://schemas.microsoft.com/office/drawing/2015/06/chart">
            <c:ext xmlns:c15="http://schemas.microsoft.com/office/drawing/2012/chart" uri="{02D57815-91ED-43cb-92C2-25804820EDAC}">
              <c15:datalabelsRange>
                <c15:f>Резерви!$B$24:$F$24</c15:f>
                <c15:dlblRangeCache>
                  <c:ptCount val="5"/>
                  <c:pt idx="0">
                    <c:v>30%</c:v>
                  </c:pt>
                  <c:pt idx="1">
                    <c:v>46%</c:v>
                  </c:pt>
                  <c:pt idx="2">
                    <c:v>47%</c:v>
                  </c:pt>
                  <c:pt idx="3">
                    <c:v>47%</c:v>
                  </c:pt>
                  <c:pt idx="4">
                    <c:v>46%</c:v>
                  </c:pt>
                </c15:dlblRangeCache>
              </c15:datalabelsRange>
            </c:ext>
            <c:ext xmlns:c16="http://schemas.microsoft.com/office/drawing/2014/chart" uri="{C3380CC4-5D6E-409C-BE32-E72D297353CC}">
              <c16:uniqueId val="{00000008-5645-45D9-9B13-C72BF7CAF1D8}"/>
            </c:ext>
          </c:extLst>
        </c:ser>
        <c:dLbls>
          <c:showLegendKey val="0"/>
          <c:showVal val="0"/>
          <c:showCatName val="0"/>
          <c:showSerName val="0"/>
          <c:showPercent val="0"/>
          <c:showBubbleSize val="0"/>
        </c:dLbls>
        <c:marker val="1"/>
        <c:smooth val="0"/>
        <c:axId val="123427328"/>
        <c:axId val="105863936"/>
      </c:lineChart>
      <c:dateAx>
        <c:axId val="123426816"/>
        <c:scaling>
          <c:orientation val="minMax"/>
        </c:scaling>
        <c:delete val="0"/>
        <c:axPos val="b"/>
        <c:numFmt formatCode="m/d/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05863360"/>
        <c:crosses val="autoZero"/>
        <c:auto val="1"/>
        <c:lblOffset val="100"/>
        <c:baseTimeUnit val="years"/>
      </c:dateAx>
      <c:valAx>
        <c:axId val="105863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23426816"/>
        <c:crosses val="autoZero"/>
        <c:crossBetween val="between"/>
      </c:valAx>
      <c:valAx>
        <c:axId val="105863936"/>
        <c:scaling>
          <c:orientation val="minMax"/>
          <c:max val="1"/>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23427328"/>
        <c:crosses val="max"/>
        <c:crossBetween val="between"/>
      </c:valAx>
      <c:dateAx>
        <c:axId val="123427328"/>
        <c:scaling>
          <c:orientation val="minMax"/>
        </c:scaling>
        <c:delete val="1"/>
        <c:axPos val="b"/>
        <c:numFmt formatCode="m/d/yyyy" sourceLinked="1"/>
        <c:majorTickMark val="out"/>
        <c:minorTickMark val="none"/>
        <c:tickLblPos val="nextTo"/>
        <c:crossAx val="105863936"/>
        <c:crosses val="autoZero"/>
        <c:auto val="1"/>
        <c:lblOffset val="100"/>
        <c:baseTimeUnit val="years"/>
      </c:dateAx>
      <c:spPr>
        <a:noFill/>
        <a:ln>
          <a:solidFill>
            <a:schemeClr val="tx1">
              <a:alpha val="99000"/>
            </a:schemeClr>
          </a:solidFill>
        </a:ln>
        <a:effectLst/>
      </c:spPr>
    </c:plotArea>
    <c:legend>
      <c:legendPos val="b"/>
      <c:legendEntry>
        <c:idx val="0"/>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Entry>
      <c:legendEntry>
        <c:idx val="1"/>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Entry>
      <c:legendEntry>
        <c:idx val="2"/>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Entry>
      <c:legendEntry>
        <c:idx val="3"/>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Entry>
      <c:layout>
        <c:manualLayout>
          <c:xMode val="edge"/>
          <c:yMode val="edge"/>
          <c:x val="0"/>
          <c:y val="0.82581060553271546"/>
          <c:w val="1"/>
          <c:h val="0.14530276635774511"/>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200">
          <a:solidFill>
            <a:schemeClr val="tx1"/>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918FF-7295-4F6C-8BC4-6BDE44614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4904</Words>
  <Characters>27957</Characters>
  <Application>Microsoft Office Word</Application>
  <DocSecurity>0</DocSecurity>
  <Lines>232</Lines>
  <Paragraphs>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32796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3</cp:revision>
  <dcterms:created xsi:type="dcterms:W3CDTF">2021-07-09T14:06:00Z</dcterms:created>
  <dcterms:modified xsi:type="dcterms:W3CDTF">2021-07-09T14:08:00Z</dcterms:modified>
</cp:coreProperties>
</file>